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D39" w:rsidRPr="00AE6D39" w:rsidRDefault="00AE6D39" w:rsidP="00AE6D39">
      <w:pPr>
        <w:spacing w:after="0" w:line="360" w:lineRule="atLeast"/>
        <w:rPr>
          <w:rFonts w:ascii="Arial" w:hAnsi="Arial" w:cs="Arial"/>
          <w:color w:val="A81817"/>
          <w:sz w:val="16"/>
          <w:szCs w:val="16"/>
          <w:lang w:val="en"/>
        </w:rPr>
      </w:pPr>
      <w:r w:rsidRPr="00AE6D39">
        <w:rPr>
          <w:rFonts w:ascii="Arial" w:hAnsi="Arial" w:cs="Arial"/>
          <w:color w:val="A81817"/>
          <w:sz w:val="16"/>
          <w:szCs w:val="16"/>
          <w:lang w:val="en"/>
        </w:rPr>
        <w:t>March 28, 2013</w:t>
      </w:r>
    </w:p>
    <w:p w:rsidR="00AE6D39" w:rsidRPr="00AE6D39" w:rsidRDefault="00AE6D39" w:rsidP="00AE6D39">
      <w:pPr>
        <w:pStyle w:val="Heading1"/>
        <w:rPr>
          <w:rFonts w:ascii="Georgia" w:hAnsi="Georgia"/>
          <w:sz w:val="28"/>
          <w:szCs w:val="28"/>
          <w:lang w:val="en"/>
        </w:rPr>
      </w:pPr>
      <w:r w:rsidRPr="00AE6D39">
        <w:rPr>
          <w:rFonts w:ascii="Georgia" w:hAnsi="Georgia"/>
          <w:sz w:val="28"/>
          <w:szCs w:val="28"/>
          <w:lang w:val="en"/>
        </w:rPr>
        <w:t>The Tyranny of the Billable Hour</w:t>
      </w:r>
    </w:p>
    <w:p w:rsidR="00AE6D39" w:rsidRPr="00AE6D39" w:rsidRDefault="00AE6D39" w:rsidP="00AE6D39">
      <w:pPr>
        <w:pStyle w:val="Heading6"/>
        <w:spacing w:before="30" w:after="30" w:line="288" w:lineRule="atLeast"/>
        <w:rPr>
          <w:rFonts w:ascii="Arial" w:hAnsi="Arial" w:cs="Arial"/>
          <w:b/>
          <w:bCs/>
          <w:color w:val="808080"/>
          <w:sz w:val="16"/>
          <w:szCs w:val="16"/>
          <w:lang w:val="en"/>
        </w:rPr>
      </w:pPr>
      <w:r w:rsidRPr="00AE6D39">
        <w:rPr>
          <w:rFonts w:ascii="Arial" w:hAnsi="Arial" w:cs="Arial"/>
          <w:b/>
          <w:bCs/>
          <w:color w:val="808080"/>
          <w:sz w:val="16"/>
          <w:szCs w:val="16"/>
          <w:lang w:val="en"/>
        </w:rPr>
        <w:t>By STEVEN J. HARPER</w:t>
      </w:r>
    </w:p>
    <w:p w:rsidR="00AE6D39" w:rsidRPr="00AE6D39" w:rsidRDefault="00AE6D39" w:rsidP="00AE6D39">
      <w:pPr>
        <w:spacing w:after="240" w:line="360" w:lineRule="atLeast"/>
        <w:rPr>
          <w:rFonts w:ascii="Georgia" w:hAnsi="Georgia" w:cs="Times New Roman"/>
          <w:color w:val="000000"/>
          <w:sz w:val="20"/>
          <w:szCs w:val="20"/>
          <w:lang w:val="en"/>
        </w:rPr>
      </w:pPr>
      <w:r w:rsidRPr="00AE6D39">
        <w:rPr>
          <w:rFonts w:ascii="Georgia" w:hAnsi="Georgia"/>
          <w:color w:val="000000"/>
          <w:sz w:val="20"/>
          <w:szCs w:val="20"/>
          <w:lang w:val="en"/>
        </w:rPr>
        <w:t xml:space="preserve">WILMETTE, Ill. </w:t>
      </w:r>
    </w:p>
    <w:p w:rsidR="00AE6D39" w:rsidRPr="00AE6D39" w:rsidRDefault="00AE6D39" w:rsidP="00AE6D39">
      <w:pPr>
        <w:spacing w:after="240" w:line="360" w:lineRule="atLeast"/>
        <w:rPr>
          <w:rFonts w:ascii="Georgia" w:hAnsi="Georgia"/>
          <w:color w:val="000000"/>
          <w:sz w:val="20"/>
          <w:szCs w:val="20"/>
          <w:lang w:val="en"/>
        </w:rPr>
      </w:pPr>
      <w:r w:rsidRPr="00AE6D39">
        <w:rPr>
          <w:rFonts w:ascii="Georgia" w:hAnsi="Georgia"/>
          <w:color w:val="000000"/>
          <w:sz w:val="20"/>
          <w:szCs w:val="20"/>
          <w:lang w:val="en"/>
        </w:rPr>
        <w:t xml:space="preserve">“THAT bill shall know no limits,” </w:t>
      </w:r>
      <w:hyperlink r:id="rId5" w:history="1">
        <w:r w:rsidRPr="00AE6D39">
          <w:rPr>
            <w:rStyle w:val="Hyperlink"/>
            <w:rFonts w:ascii="Georgia" w:hAnsi="Georgia"/>
            <w:sz w:val="20"/>
            <w:szCs w:val="20"/>
            <w:lang w:val="en"/>
          </w:rPr>
          <w:t>wrote</w:t>
        </w:r>
      </w:hyperlink>
      <w:r w:rsidRPr="00AE6D39">
        <w:rPr>
          <w:rFonts w:ascii="Georgia" w:hAnsi="Georgia"/>
          <w:color w:val="000000"/>
          <w:sz w:val="20"/>
          <w:szCs w:val="20"/>
          <w:lang w:val="en"/>
        </w:rPr>
        <w:t xml:space="preserve"> one DLA Piper lawyer to another in 2010 in what the firm is now calling “unfortunate banter” between associates about work for a client. But what is truly unfortunate is the underlying billable-hour regime and the law-firm culture it has spawned. </w:t>
      </w:r>
    </w:p>
    <w:p w:rsidR="00AE6D39" w:rsidRPr="00AE6D39" w:rsidRDefault="00AE6D39" w:rsidP="00AE6D39">
      <w:pPr>
        <w:spacing w:after="240" w:line="360" w:lineRule="atLeast"/>
        <w:rPr>
          <w:rFonts w:ascii="Georgia" w:hAnsi="Georgia"/>
          <w:color w:val="000000"/>
          <w:sz w:val="20"/>
          <w:szCs w:val="20"/>
          <w:lang w:val="en"/>
        </w:rPr>
      </w:pPr>
      <w:r w:rsidRPr="00AE6D39">
        <w:rPr>
          <w:rFonts w:ascii="Georgia" w:hAnsi="Georgia"/>
          <w:color w:val="000000"/>
          <w:sz w:val="20"/>
          <w:szCs w:val="20"/>
          <w:lang w:val="en"/>
        </w:rPr>
        <w:t xml:space="preserve">Lost in the furor surrounding one large firm’s current public relations headache are deeper problems that go to the heart of the prevailing big law-firm business model itself. Regrettably, as with previous episodes that have produced high-profile scandals, the present outcry will probably pass and the billable hour will endure. </w:t>
      </w:r>
    </w:p>
    <w:p w:rsidR="00AE6D39" w:rsidRPr="00AE6D39" w:rsidRDefault="00AE6D39" w:rsidP="00AE6D39">
      <w:pPr>
        <w:spacing w:after="240" w:line="360" w:lineRule="atLeast"/>
        <w:rPr>
          <w:rFonts w:ascii="Georgia" w:hAnsi="Georgia"/>
          <w:color w:val="000000"/>
          <w:sz w:val="20"/>
          <w:szCs w:val="20"/>
          <w:lang w:val="en"/>
        </w:rPr>
      </w:pPr>
      <w:r w:rsidRPr="00AE6D39">
        <w:rPr>
          <w:rFonts w:ascii="Georgia" w:hAnsi="Georgia"/>
          <w:color w:val="000000"/>
          <w:sz w:val="20"/>
          <w:szCs w:val="20"/>
          <w:lang w:val="en"/>
        </w:rPr>
        <w:t xml:space="preserve">It shouldn’t. The billable-hour system is the way most lawyers in big firms charge clients, but it serves no one. Well, almost no one. It brings most equity partners in those firms great wealth. Law firm leaders call it a leveraged pyramid. Most associates call it a living hell. </w:t>
      </w:r>
    </w:p>
    <w:p w:rsidR="00AE6D39" w:rsidRPr="00AE6D39" w:rsidRDefault="00AE6D39" w:rsidP="00AE6D39">
      <w:pPr>
        <w:spacing w:after="240" w:line="360" w:lineRule="atLeast"/>
        <w:rPr>
          <w:rFonts w:ascii="Georgia" w:hAnsi="Georgia"/>
          <w:color w:val="000000"/>
          <w:sz w:val="20"/>
          <w:szCs w:val="20"/>
          <w:lang w:val="en"/>
        </w:rPr>
      </w:pPr>
      <w:r w:rsidRPr="00AE6D39">
        <w:rPr>
          <w:rFonts w:ascii="Georgia" w:hAnsi="Georgia"/>
          <w:color w:val="000000"/>
          <w:sz w:val="20"/>
          <w:szCs w:val="20"/>
          <w:lang w:val="en"/>
        </w:rPr>
        <w:t xml:space="preserve">In a typical large firm, associates earn far less than the client revenues they generate. For example, a client receives an invoice totaling the number of hours each lawyer spends on the client’s matters, multiplied by the lawyer’s hourly rate, say $400 for a junior associate. Most big firms require associates to bill at least 1,900 hours a year, according to a survey last year by NALP, the Association for Legal Career Professionals. </w:t>
      </w:r>
    </w:p>
    <w:p w:rsidR="00AE6D39" w:rsidRPr="00AE6D39" w:rsidRDefault="00AE6D39" w:rsidP="00AE6D39">
      <w:pPr>
        <w:spacing w:after="240" w:line="360" w:lineRule="atLeast"/>
        <w:rPr>
          <w:rFonts w:ascii="Georgia" w:hAnsi="Georgia"/>
          <w:color w:val="000000"/>
          <w:sz w:val="20"/>
          <w:szCs w:val="20"/>
          <w:lang w:val="en"/>
        </w:rPr>
      </w:pPr>
      <w:r w:rsidRPr="00AE6D39">
        <w:rPr>
          <w:rFonts w:ascii="Georgia" w:hAnsi="Georgia"/>
          <w:color w:val="000000"/>
          <w:sz w:val="20"/>
          <w:szCs w:val="20"/>
          <w:lang w:val="en"/>
        </w:rPr>
        <w:t xml:space="preserve">In 2009, DLA Piper announced that it had eliminated associates’ billable-hour requirements in favor of a performance-based reward system. However, the firm’s submission for the association’s current NALP </w:t>
      </w:r>
      <w:hyperlink r:id="rId6" w:history="1">
        <w:r w:rsidRPr="00AE6D39">
          <w:rPr>
            <w:rStyle w:val="Hyperlink"/>
            <w:rFonts w:ascii="Georgia" w:hAnsi="Georgia"/>
            <w:sz w:val="20"/>
            <w:szCs w:val="20"/>
            <w:lang w:val="en"/>
          </w:rPr>
          <w:t>Directory of Legal Employers</w:t>
        </w:r>
      </w:hyperlink>
      <w:r w:rsidRPr="00AE6D39">
        <w:rPr>
          <w:rFonts w:ascii="Georgia" w:hAnsi="Georgia"/>
          <w:color w:val="000000"/>
          <w:sz w:val="20"/>
          <w:szCs w:val="20"/>
          <w:lang w:val="en"/>
        </w:rPr>
        <w:t xml:space="preserve"> reports that it has a “minimum billable hour expectation.” In 2011, DLA Piper’s “average annual associate hours worked” (both billable and </w:t>
      </w:r>
      <w:proofErr w:type="spellStart"/>
      <w:r w:rsidRPr="00AE6D39">
        <w:rPr>
          <w:rFonts w:ascii="Georgia" w:hAnsi="Georgia"/>
          <w:color w:val="000000"/>
          <w:sz w:val="20"/>
          <w:szCs w:val="20"/>
          <w:lang w:val="en"/>
        </w:rPr>
        <w:t>nonbillable</w:t>
      </w:r>
      <w:proofErr w:type="spellEnd"/>
      <w:r w:rsidRPr="00AE6D39">
        <w:rPr>
          <w:rFonts w:ascii="Georgia" w:hAnsi="Georgia"/>
          <w:color w:val="000000"/>
          <w:sz w:val="20"/>
          <w:szCs w:val="20"/>
          <w:lang w:val="en"/>
        </w:rPr>
        <w:t xml:space="preserve">) was 2,462; the billable average was 1,831. </w:t>
      </w:r>
    </w:p>
    <w:p w:rsidR="00AE6D39" w:rsidRPr="00AE6D39" w:rsidRDefault="00AE6D39" w:rsidP="00AE6D39">
      <w:pPr>
        <w:spacing w:after="240" w:line="360" w:lineRule="atLeast"/>
        <w:rPr>
          <w:rFonts w:ascii="Georgia" w:hAnsi="Georgia"/>
          <w:color w:val="000000"/>
          <w:sz w:val="20"/>
          <w:szCs w:val="20"/>
          <w:lang w:val="en"/>
        </w:rPr>
      </w:pPr>
      <w:r w:rsidRPr="00AE6D39">
        <w:rPr>
          <w:rFonts w:ascii="Georgia" w:hAnsi="Georgia"/>
          <w:color w:val="000000"/>
          <w:sz w:val="20"/>
          <w:szCs w:val="20"/>
          <w:lang w:val="en"/>
        </w:rPr>
        <w:t xml:space="preserve">At $400 an hour, a hypothetical 2,000-hour-a-year associate generates $800,000 a year for the firm. But the firm typically pays the salaried lawyer one-fourth of that amount or less. </w:t>
      </w:r>
    </w:p>
    <w:p w:rsidR="00AE6D39" w:rsidRPr="00AE6D39" w:rsidRDefault="00AE6D39" w:rsidP="00AE6D39">
      <w:pPr>
        <w:spacing w:after="240" w:line="360" w:lineRule="atLeast"/>
        <w:rPr>
          <w:rFonts w:ascii="Georgia" w:hAnsi="Georgia"/>
          <w:color w:val="000000"/>
          <w:sz w:val="20"/>
          <w:szCs w:val="20"/>
          <w:lang w:val="en"/>
        </w:rPr>
      </w:pPr>
      <w:r w:rsidRPr="00AE6D39">
        <w:rPr>
          <w:rFonts w:ascii="Georgia" w:hAnsi="Georgia"/>
          <w:color w:val="000000"/>
          <w:sz w:val="20"/>
          <w:szCs w:val="20"/>
          <w:lang w:val="en"/>
        </w:rPr>
        <w:t xml:space="preserve">For associates, the goal is simple: meet the required (or expected) minimum number of billable hours to qualify for annual bonuses and salary increases. Billing 2,000 hours a year isn’t easy. It typically takes at least 50 hours a week to bill an honest 40 hours to a client. Add commuting time, bathroom breaks, lunch, holidays, an annual vacation and a little socializing, and most associates find themselves working evenings and weekends to “make their hours.” Most firms increase financial rewards as an associate’s </w:t>
      </w:r>
      <w:proofErr w:type="spellStart"/>
      <w:r w:rsidRPr="00AE6D39">
        <w:rPr>
          <w:rFonts w:ascii="Georgia" w:hAnsi="Georgia"/>
          <w:color w:val="000000"/>
          <w:sz w:val="20"/>
          <w:szCs w:val="20"/>
          <w:lang w:val="en"/>
        </w:rPr>
        <w:t>billables</w:t>
      </w:r>
      <w:proofErr w:type="spellEnd"/>
      <w:r w:rsidRPr="00AE6D39">
        <w:rPr>
          <w:rFonts w:ascii="Georgia" w:hAnsi="Georgia"/>
          <w:color w:val="000000"/>
          <w:sz w:val="20"/>
          <w:szCs w:val="20"/>
          <w:lang w:val="en"/>
        </w:rPr>
        <w:t xml:space="preserve"> move beyond the stated threshold. </w:t>
      </w:r>
    </w:p>
    <w:p w:rsidR="00AE6D39" w:rsidRPr="00AE6D39" w:rsidRDefault="00AE6D39" w:rsidP="00AE6D39">
      <w:pPr>
        <w:spacing w:after="240" w:line="360" w:lineRule="atLeast"/>
        <w:rPr>
          <w:rFonts w:ascii="Georgia" w:hAnsi="Georgia"/>
          <w:color w:val="000000"/>
          <w:sz w:val="20"/>
          <w:szCs w:val="20"/>
          <w:lang w:val="en"/>
        </w:rPr>
      </w:pPr>
      <w:r w:rsidRPr="00AE6D39">
        <w:rPr>
          <w:rFonts w:ascii="Georgia" w:hAnsi="Georgia"/>
          <w:color w:val="000000"/>
          <w:sz w:val="20"/>
          <w:szCs w:val="20"/>
          <w:lang w:val="en"/>
        </w:rPr>
        <w:t xml:space="preserve">For partners, billable hours are a key measure of associate and partner productivity. More is better. The resulting culture pushes everyone harder. Meanwhile, each partner strives to maximize individual client billings that he or she controls. Those billings in most cases determine a partner’s annual share of the firm’s profits. Their clients also </w:t>
      </w:r>
      <w:r w:rsidRPr="00AE6D39">
        <w:rPr>
          <w:rFonts w:ascii="Georgia" w:hAnsi="Georgia"/>
          <w:color w:val="000000"/>
          <w:sz w:val="20"/>
          <w:szCs w:val="20"/>
          <w:lang w:val="en"/>
        </w:rPr>
        <w:lastRenderedPageBreak/>
        <w:t xml:space="preserve">become tickets to other firms. That makes partners reluctant to share too many important client responsibilities with their associates and fellow partners. </w:t>
      </w:r>
    </w:p>
    <w:p w:rsidR="00AE6D39" w:rsidRPr="00AE6D39" w:rsidRDefault="00AE6D39" w:rsidP="00AE6D39">
      <w:pPr>
        <w:spacing w:after="240" w:line="360" w:lineRule="atLeast"/>
        <w:rPr>
          <w:rFonts w:ascii="Georgia" w:hAnsi="Georgia"/>
          <w:color w:val="000000"/>
          <w:sz w:val="20"/>
          <w:szCs w:val="20"/>
          <w:lang w:val="en"/>
        </w:rPr>
      </w:pPr>
      <w:r w:rsidRPr="00AE6D39">
        <w:rPr>
          <w:rFonts w:ascii="Georgia" w:hAnsi="Georgia"/>
          <w:color w:val="000000"/>
          <w:sz w:val="20"/>
          <w:szCs w:val="20"/>
          <w:lang w:val="en"/>
        </w:rPr>
        <w:t xml:space="preserve">For clients, the consequences of the billable-hour system can be absurd. Fatigue through overwork can produce negative returns — the critical document missed during a late-night marathon review; the error in the draft of a corporate filing that goes unnoticed. </w:t>
      </w:r>
    </w:p>
    <w:p w:rsidR="00AE6D39" w:rsidRPr="00AE6D39" w:rsidRDefault="00AE6D39" w:rsidP="00AE6D39">
      <w:pPr>
        <w:spacing w:after="240" w:line="360" w:lineRule="atLeast"/>
        <w:rPr>
          <w:rFonts w:ascii="Georgia" w:hAnsi="Georgia"/>
          <w:color w:val="000000"/>
          <w:sz w:val="20"/>
          <w:szCs w:val="20"/>
          <w:lang w:val="en"/>
        </w:rPr>
      </w:pPr>
      <w:r w:rsidRPr="00AE6D39">
        <w:rPr>
          <w:rFonts w:ascii="Georgia" w:hAnsi="Georgia"/>
          <w:color w:val="000000"/>
          <w:sz w:val="20"/>
          <w:szCs w:val="20"/>
          <w:lang w:val="en"/>
        </w:rPr>
        <w:t xml:space="preserve">Why do clients tolerate this perverse system? Periodically they rebel, especially during economic downturns, but those revolutions have been short-lived and unsuccessful. A 2011 survey by </w:t>
      </w:r>
      <w:hyperlink r:id="rId7" w:history="1">
        <w:r w:rsidRPr="00AE6D39">
          <w:rPr>
            <w:rStyle w:val="Hyperlink"/>
            <w:rFonts w:ascii="Georgia" w:hAnsi="Georgia"/>
            <w:sz w:val="20"/>
            <w:szCs w:val="20"/>
            <w:lang w:val="en"/>
          </w:rPr>
          <w:t>ALM Legal Intelligence</w:t>
        </w:r>
      </w:hyperlink>
      <w:r w:rsidRPr="00AE6D39">
        <w:rPr>
          <w:rFonts w:ascii="Georgia" w:hAnsi="Georgia"/>
          <w:color w:val="000000"/>
          <w:sz w:val="20"/>
          <w:szCs w:val="20"/>
          <w:lang w:val="en"/>
        </w:rPr>
        <w:t xml:space="preserve">, an online data service, found that alternative fee arrangements accounted for only 16 percent of revenues at the nation’s largest law firms in 2010. Despite outcries for reform, the billable hour remains entrenched and the barriers to change are formidable. In many practice areas, including large and lucrative bankruptcy cases, prior court rulings (including the United States Supreme Court’s 2010 opinion in </w:t>
      </w:r>
      <w:hyperlink r:id="rId8" w:history="1">
        <w:r w:rsidRPr="00AE6D39">
          <w:rPr>
            <w:rStyle w:val="Hyperlink"/>
            <w:rFonts w:ascii="Georgia" w:hAnsi="Georgia"/>
            <w:sz w:val="20"/>
            <w:szCs w:val="20"/>
            <w:lang w:val="en"/>
          </w:rPr>
          <w:t>Perdue v. Kenny A.</w:t>
        </w:r>
      </w:hyperlink>
      <w:r w:rsidRPr="00AE6D39">
        <w:rPr>
          <w:rFonts w:ascii="Georgia" w:hAnsi="Georgia"/>
          <w:color w:val="000000"/>
          <w:sz w:val="20"/>
          <w:szCs w:val="20"/>
          <w:lang w:val="en"/>
        </w:rPr>
        <w:t xml:space="preserve">) essentially require lawyers to use the billable-hour approach if they want to assure approval of their fee petitions. </w:t>
      </w:r>
    </w:p>
    <w:p w:rsidR="00AE6D39" w:rsidRPr="00AE6D39" w:rsidRDefault="00AE6D39" w:rsidP="00AE6D39">
      <w:pPr>
        <w:spacing w:after="240" w:line="360" w:lineRule="atLeast"/>
        <w:rPr>
          <w:rFonts w:ascii="Georgia" w:hAnsi="Georgia"/>
          <w:color w:val="000000"/>
          <w:sz w:val="20"/>
          <w:szCs w:val="20"/>
          <w:lang w:val="en"/>
        </w:rPr>
      </w:pPr>
      <w:r w:rsidRPr="00AE6D39">
        <w:rPr>
          <w:rFonts w:ascii="Georgia" w:hAnsi="Georgia"/>
          <w:color w:val="000000"/>
          <w:sz w:val="20"/>
          <w:szCs w:val="20"/>
          <w:lang w:val="en"/>
        </w:rPr>
        <w:t xml:space="preserve">There’s a way out of the mess. But it requires clients to press harder for alternative fee arrangements, courts to back away from policies that embed the billable hour, law firm leaders to stop rewarding excessive associate hours and senior partners to consider the deleterious consequences of their myopic focus on short-term profit-maximizing behavior. </w:t>
      </w:r>
    </w:p>
    <w:p w:rsidR="00AE6D39" w:rsidRPr="00AE6D39" w:rsidRDefault="00AE6D39" w:rsidP="00AE6D39">
      <w:pPr>
        <w:spacing w:after="240" w:line="360" w:lineRule="atLeast"/>
        <w:rPr>
          <w:rFonts w:ascii="Georgia" w:hAnsi="Georgia"/>
          <w:color w:val="000000"/>
          <w:sz w:val="20"/>
          <w:szCs w:val="20"/>
          <w:lang w:val="en"/>
        </w:rPr>
      </w:pPr>
      <w:r w:rsidRPr="00AE6D39">
        <w:rPr>
          <w:rFonts w:ascii="Georgia" w:hAnsi="Georgia"/>
          <w:color w:val="000000"/>
          <w:sz w:val="20"/>
          <w:szCs w:val="20"/>
          <w:lang w:val="en"/>
        </w:rPr>
        <w:t xml:space="preserve">However it comes out, DLA Piper isn’t the first law firm to endure a client billing controversy. While at a big firm, Webster Hubbell, a former Arkansas Supreme Court justice and associate attorney general for President Bill Clinton, was caught billing clients for time that he never worked. He </w:t>
      </w:r>
      <w:hyperlink r:id="rId9" w:history="1">
        <w:r w:rsidRPr="00AE6D39">
          <w:rPr>
            <w:rStyle w:val="Hyperlink"/>
            <w:rFonts w:ascii="Georgia" w:hAnsi="Georgia"/>
            <w:sz w:val="20"/>
            <w:szCs w:val="20"/>
            <w:lang w:val="en"/>
          </w:rPr>
          <w:t>went to prison</w:t>
        </w:r>
      </w:hyperlink>
      <w:r w:rsidRPr="00AE6D39">
        <w:rPr>
          <w:rFonts w:ascii="Georgia" w:hAnsi="Georgia"/>
          <w:color w:val="000000"/>
          <w:sz w:val="20"/>
          <w:szCs w:val="20"/>
          <w:lang w:val="en"/>
        </w:rPr>
        <w:t xml:space="preserve">. A partner in a prominent Chicago law firm got into trouble when someone wondered how he could bill almost 6,000 hours annually over four consecutive years. He couldn’t. </w:t>
      </w:r>
    </w:p>
    <w:p w:rsidR="00AE6D39" w:rsidRPr="00AE6D39" w:rsidRDefault="00AE6D39" w:rsidP="00AE6D39">
      <w:pPr>
        <w:spacing w:after="240" w:line="360" w:lineRule="atLeast"/>
        <w:rPr>
          <w:rFonts w:ascii="Georgia" w:hAnsi="Georgia"/>
          <w:color w:val="000000"/>
          <w:sz w:val="20"/>
          <w:szCs w:val="20"/>
          <w:lang w:val="en"/>
        </w:rPr>
      </w:pPr>
      <w:r w:rsidRPr="00AE6D39">
        <w:rPr>
          <w:rFonts w:ascii="Georgia" w:hAnsi="Georgia"/>
          <w:color w:val="000000"/>
          <w:sz w:val="20"/>
          <w:szCs w:val="20"/>
          <w:lang w:val="en"/>
        </w:rPr>
        <w:t xml:space="preserve">In fact, a cottage industry has now developed in auditing outside law firm invoices to clients. Even so, as the deceit associated with the billable hour continues undetected, equally insidious consequences of the entire system endure. The episodes of public embarrassment will remain infrequent, and the triggers producing them will be idiosyncratic. DLA Piper’s current notoriety began when a former client refused to pay his roughly $675,000 bill. The firm sued him last year, and its internal e-mails about the matter became subject to discovery. Before long, they landed on the front page of The New York Times. </w:t>
      </w:r>
    </w:p>
    <w:p w:rsidR="0041720D" w:rsidRDefault="00AE6D39" w:rsidP="00AE6D39">
      <w:pPr>
        <w:spacing w:after="240" w:line="360" w:lineRule="atLeast"/>
        <w:rPr>
          <w:rFonts w:ascii="Georgia" w:hAnsi="Georgia"/>
          <w:color w:val="000000"/>
          <w:sz w:val="20"/>
          <w:szCs w:val="20"/>
          <w:lang w:val="en"/>
        </w:rPr>
      </w:pPr>
      <w:r w:rsidRPr="00AE6D39">
        <w:rPr>
          <w:rFonts w:ascii="Georgia" w:hAnsi="Georgia"/>
          <w:color w:val="000000"/>
          <w:sz w:val="20"/>
          <w:szCs w:val="20"/>
          <w:lang w:val="en"/>
        </w:rPr>
        <w:t xml:space="preserve">DLA Piper said that the comments of its lawyers were “an inexcusable effort at humor.” What’s really not funny is the toll that the flawed system is taking on a vital profession. </w:t>
      </w:r>
    </w:p>
    <w:p w:rsidR="00AE6D39" w:rsidRPr="00AE6D39" w:rsidRDefault="00AE6D39" w:rsidP="00AE6D39">
      <w:pPr>
        <w:spacing w:after="240" w:line="360" w:lineRule="atLeast"/>
        <w:rPr>
          <w:sz w:val="16"/>
          <w:szCs w:val="16"/>
        </w:rPr>
      </w:pPr>
      <w:r w:rsidRPr="00AE6D39">
        <w:rPr>
          <w:sz w:val="16"/>
          <w:szCs w:val="16"/>
        </w:rPr>
        <w:t>http://www.nytimes</w:t>
      </w:r>
      <w:bookmarkStart w:id="0" w:name="_GoBack"/>
      <w:bookmarkEnd w:id="0"/>
      <w:r w:rsidRPr="00AE6D39">
        <w:rPr>
          <w:sz w:val="16"/>
          <w:szCs w:val="16"/>
        </w:rPr>
        <w:t>.com/2013/03/29/opinion/the-case-against-the-law-firm-billable-hour.html?pagewanted=print</w:t>
      </w:r>
    </w:p>
    <w:sectPr w:rsidR="00AE6D39" w:rsidRPr="00AE6D39" w:rsidSect="006413B4">
      <w:pgSz w:w="12240" w:h="15840"/>
      <w:pgMar w:top="1152" w:right="1152"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8D2C86"/>
    <w:multiLevelType w:val="multilevel"/>
    <w:tmpl w:val="9AF2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A903CF"/>
    <w:multiLevelType w:val="multilevel"/>
    <w:tmpl w:val="8896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2E"/>
    <w:rsid w:val="0041720D"/>
    <w:rsid w:val="00490B2E"/>
    <w:rsid w:val="006413B4"/>
    <w:rsid w:val="00812B42"/>
    <w:rsid w:val="00AE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C0576-FD4D-490E-83C9-74F3CBA1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13B4"/>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5">
    <w:name w:val="heading 5"/>
    <w:basedOn w:val="Normal"/>
    <w:next w:val="Normal"/>
    <w:link w:val="Heading5Char"/>
    <w:uiPriority w:val="9"/>
    <w:semiHidden/>
    <w:unhideWhenUsed/>
    <w:qFormat/>
    <w:rsid w:val="00AE6D3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6413B4"/>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3B4"/>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6413B4"/>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6413B4"/>
    <w:rPr>
      <w:strike w:val="0"/>
      <w:dstrike w:val="0"/>
      <w:color w:val="000066"/>
      <w:u w:val="none"/>
      <w:effect w:val="none"/>
    </w:rPr>
  </w:style>
  <w:style w:type="character" w:customStyle="1" w:styleId="Heading5Char">
    <w:name w:val="Heading 5 Char"/>
    <w:basedOn w:val="DefaultParagraphFont"/>
    <w:link w:val="Heading5"/>
    <w:uiPriority w:val="9"/>
    <w:semiHidden/>
    <w:rsid w:val="00AE6D39"/>
    <w:rPr>
      <w:rFonts w:asciiTheme="majorHAnsi" w:eastAsiaTheme="majorEastAsia" w:hAnsiTheme="majorHAnsi" w:cstheme="majorBidi"/>
      <w:color w:val="2E74B5" w:themeColor="accent1" w:themeShade="BF"/>
    </w:rPr>
  </w:style>
  <w:style w:type="paragraph" w:styleId="z-TopofForm">
    <w:name w:val="HTML Top of Form"/>
    <w:basedOn w:val="Normal"/>
    <w:next w:val="Normal"/>
    <w:link w:val="z-TopofFormChar"/>
    <w:hidden/>
    <w:uiPriority w:val="99"/>
    <w:semiHidden/>
    <w:unhideWhenUsed/>
    <w:rsid w:val="00AE6D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E6D39"/>
    <w:rPr>
      <w:rFonts w:ascii="Arial" w:eastAsia="Times New Roman" w:hAnsi="Arial" w:cs="Arial"/>
      <w:vanish/>
      <w:sz w:val="16"/>
      <w:szCs w:val="16"/>
    </w:rPr>
  </w:style>
  <w:style w:type="character" w:customStyle="1" w:styleId="labeldescription5">
    <w:name w:val="labeldescription5"/>
    <w:basedOn w:val="DefaultParagraphFont"/>
    <w:rsid w:val="00AE6D39"/>
    <w:rPr>
      <w:rFonts w:ascii="Arial" w:hAnsi="Arial" w:cs="Arial" w:hint="default"/>
      <w:b w:val="0"/>
      <w:bCs w:val="0"/>
      <w:color w:val="808080"/>
      <w:sz w:val="15"/>
      <w:szCs w:val="15"/>
    </w:rPr>
  </w:style>
  <w:style w:type="paragraph" w:styleId="z-BottomofForm">
    <w:name w:val="HTML Bottom of Form"/>
    <w:basedOn w:val="Normal"/>
    <w:next w:val="Normal"/>
    <w:link w:val="z-BottomofFormChar"/>
    <w:hidden/>
    <w:uiPriority w:val="99"/>
    <w:semiHidden/>
    <w:unhideWhenUsed/>
    <w:rsid w:val="00AE6D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E6D3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768338">
      <w:bodyDiv w:val="1"/>
      <w:marLeft w:val="150"/>
      <w:marRight w:val="150"/>
      <w:marTop w:val="0"/>
      <w:marBottom w:val="0"/>
      <w:divBdr>
        <w:top w:val="none" w:sz="0" w:space="0" w:color="auto"/>
        <w:left w:val="none" w:sz="0" w:space="0" w:color="auto"/>
        <w:bottom w:val="none" w:sz="0" w:space="0" w:color="auto"/>
        <w:right w:val="none" w:sz="0" w:space="0" w:color="auto"/>
      </w:divBdr>
      <w:divsChild>
        <w:div w:id="696663661">
          <w:marLeft w:val="0"/>
          <w:marRight w:val="0"/>
          <w:marTop w:val="225"/>
          <w:marBottom w:val="0"/>
          <w:divBdr>
            <w:top w:val="none" w:sz="0" w:space="0" w:color="auto"/>
            <w:left w:val="none" w:sz="0" w:space="0" w:color="auto"/>
            <w:bottom w:val="none" w:sz="0" w:space="0" w:color="auto"/>
            <w:right w:val="none" w:sz="0" w:space="0" w:color="auto"/>
          </w:divBdr>
        </w:div>
        <w:div w:id="1010060962">
          <w:marLeft w:val="0"/>
          <w:marRight w:val="0"/>
          <w:marTop w:val="0"/>
          <w:marBottom w:val="0"/>
          <w:divBdr>
            <w:top w:val="none" w:sz="0" w:space="0" w:color="auto"/>
            <w:left w:val="none" w:sz="0" w:space="0" w:color="auto"/>
            <w:bottom w:val="none" w:sz="0" w:space="0" w:color="auto"/>
            <w:right w:val="none" w:sz="0" w:space="0" w:color="auto"/>
          </w:divBdr>
          <w:divsChild>
            <w:div w:id="137649717">
              <w:marLeft w:val="0"/>
              <w:marRight w:val="0"/>
              <w:marTop w:val="0"/>
              <w:marBottom w:val="672"/>
              <w:divBdr>
                <w:top w:val="none" w:sz="0" w:space="0" w:color="auto"/>
                <w:left w:val="none" w:sz="0" w:space="0" w:color="auto"/>
                <w:bottom w:val="none" w:sz="0" w:space="0" w:color="auto"/>
                <w:right w:val="none" w:sz="0" w:space="0" w:color="auto"/>
              </w:divBdr>
            </w:div>
          </w:divsChild>
        </w:div>
        <w:div w:id="456222627">
          <w:marLeft w:val="0"/>
          <w:marRight w:val="0"/>
          <w:marTop w:val="0"/>
          <w:marBottom w:val="0"/>
          <w:divBdr>
            <w:top w:val="none" w:sz="0" w:space="0" w:color="auto"/>
            <w:left w:val="none" w:sz="0" w:space="0" w:color="auto"/>
            <w:bottom w:val="none" w:sz="0" w:space="0" w:color="auto"/>
            <w:right w:val="none" w:sz="0" w:space="0" w:color="auto"/>
          </w:divBdr>
          <w:divsChild>
            <w:div w:id="1443186143">
              <w:marLeft w:val="0"/>
              <w:marRight w:val="0"/>
              <w:marTop w:val="0"/>
              <w:marBottom w:val="0"/>
              <w:divBdr>
                <w:top w:val="single" w:sz="6" w:space="0" w:color="CCCCCC"/>
                <w:left w:val="single" w:sz="6" w:space="0" w:color="CCCCCC"/>
                <w:bottom w:val="single" w:sz="6" w:space="0" w:color="CCCCCC"/>
                <w:right w:val="single" w:sz="6" w:space="0" w:color="CCCCCC"/>
              </w:divBdr>
              <w:divsChild>
                <w:div w:id="1162549742">
                  <w:marLeft w:val="120"/>
                  <w:marRight w:val="120"/>
                  <w:marTop w:val="150"/>
                  <w:marBottom w:val="150"/>
                  <w:divBdr>
                    <w:top w:val="none" w:sz="0" w:space="0" w:color="auto"/>
                    <w:left w:val="none" w:sz="0" w:space="0" w:color="auto"/>
                    <w:bottom w:val="none" w:sz="0" w:space="0" w:color="auto"/>
                    <w:right w:val="none" w:sz="0" w:space="0" w:color="auto"/>
                  </w:divBdr>
                  <w:divsChild>
                    <w:div w:id="397486007">
                      <w:marLeft w:val="0"/>
                      <w:marRight w:val="0"/>
                      <w:marTop w:val="0"/>
                      <w:marBottom w:val="60"/>
                      <w:divBdr>
                        <w:top w:val="none" w:sz="0" w:space="0" w:color="auto"/>
                        <w:left w:val="none" w:sz="0" w:space="0" w:color="auto"/>
                        <w:bottom w:val="none" w:sz="0" w:space="0" w:color="auto"/>
                        <w:right w:val="none" w:sz="0" w:space="0" w:color="auto"/>
                      </w:divBdr>
                      <w:divsChild>
                        <w:div w:id="843785696">
                          <w:marLeft w:val="0"/>
                          <w:marRight w:val="0"/>
                          <w:marTop w:val="0"/>
                          <w:marBottom w:val="0"/>
                          <w:divBdr>
                            <w:top w:val="none" w:sz="0" w:space="0" w:color="auto"/>
                            <w:left w:val="none" w:sz="0" w:space="0" w:color="auto"/>
                            <w:bottom w:val="none" w:sz="0" w:space="0" w:color="auto"/>
                            <w:right w:val="none" w:sz="0" w:space="0" w:color="auto"/>
                          </w:divBdr>
                          <w:divsChild>
                            <w:div w:id="1195191114">
                              <w:marLeft w:val="0"/>
                              <w:marRight w:val="0"/>
                              <w:marTop w:val="0"/>
                              <w:marBottom w:val="0"/>
                              <w:divBdr>
                                <w:top w:val="none" w:sz="0" w:space="0" w:color="auto"/>
                                <w:left w:val="none" w:sz="0" w:space="0" w:color="auto"/>
                                <w:bottom w:val="none" w:sz="0" w:space="0" w:color="auto"/>
                                <w:right w:val="none" w:sz="0" w:space="0" w:color="auto"/>
                              </w:divBdr>
                            </w:div>
                            <w:div w:id="9504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3224">
                      <w:marLeft w:val="0"/>
                      <w:marRight w:val="0"/>
                      <w:marTop w:val="0"/>
                      <w:marBottom w:val="0"/>
                      <w:divBdr>
                        <w:top w:val="none" w:sz="0" w:space="0" w:color="auto"/>
                        <w:left w:val="none" w:sz="0" w:space="0" w:color="auto"/>
                        <w:bottom w:val="none" w:sz="0" w:space="0" w:color="auto"/>
                        <w:right w:val="none" w:sz="0" w:space="0" w:color="auto"/>
                      </w:divBdr>
                      <w:divsChild>
                        <w:div w:id="652493715">
                          <w:marLeft w:val="120"/>
                          <w:marRight w:val="120"/>
                          <w:marTop w:val="150"/>
                          <w:marBottom w:val="150"/>
                          <w:divBdr>
                            <w:top w:val="none" w:sz="0" w:space="0" w:color="auto"/>
                            <w:left w:val="none" w:sz="0" w:space="0" w:color="auto"/>
                            <w:bottom w:val="none" w:sz="0" w:space="0" w:color="auto"/>
                            <w:right w:val="none" w:sz="0" w:space="0" w:color="auto"/>
                          </w:divBdr>
                          <w:divsChild>
                            <w:div w:id="1720785542">
                              <w:marLeft w:val="0"/>
                              <w:marRight w:val="0"/>
                              <w:marTop w:val="0"/>
                              <w:marBottom w:val="0"/>
                              <w:divBdr>
                                <w:top w:val="none" w:sz="0" w:space="0" w:color="auto"/>
                                <w:left w:val="none" w:sz="0" w:space="0" w:color="auto"/>
                                <w:bottom w:val="none" w:sz="0" w:space="0" w:color="auto"/>
                                <w:right w:val="none" w:sz="0" w:space="0" w:color="auto"/>
                              </w:divBdr>
                              <w:divsChild>
                                <w:div w:id="1111436333">
                                  <w:marLeft w:val="0"/>
                                  <w:marRight w:val="0"/>
                                  <w:marTop w:val="0"/>
                                  <w:marBottom w:val="150"/>
                                  <w:divBdr>
                                    <w:top w:val="none" w:sz="0" w:space="0" w:color="auto"/>
                                    <w:left w:val="none" w:sz="0" w:space="0" w:color="auto"/>
                                    <w:bottom w:val="none" w:sz="0" w:space="0" w:color="auto"/>
                                    <w:right w:val="none" w:sz="0" w:space="0" w:color="auto"/>
                                  </w:divBdr>
                                  <w:divsChild>
                                    <w:div w:id="959074714">
                                      <w:marLeft w:val="0"/>
                                      <w:marRight w:val="0"/>
                                      <w:marTop w:val="60"/>
                                      <w:marBottom w:val="0"/>
                                      <w:divBdr>
                                        <w:top w:val="none" w:sz="0" w:space="0" w:color="auto"/>
                                        <w:left w:val="none" w:sz="0" w:space="0" w:color="auto"/>
                                        <w:bottom w:val="none" w:sz="0" w:space="0" w:color="auto"/>
                                        <w:right w:val="none" w:sz="0" w:space="0" w:color="auto"/>
                                      </w:divBdr>
                                    </w:div>
                                    <w:div w:id="424762636">
                                      <w:marLeft w:val="0"/>
                                      <w:marRight w:val="0"/>
                                      <w:marTop w:val="0"/>
                                      <w:marBottom w:val="0"/>
                                      <w:divBdr>
                                        <w:top w:val="none" w:sz="0" w:space="0" w:color="auto"/>
                                        <w:left w:val="none" w:sz="0" w:space="0" w:color="auto"/>
                                        <w:bottom w:val="none" w:sz="0" w:space="0" w:color="auto"/>
                                        <w:right w:val="none" w:sz="0" w:space="0" w:color="auto"/>
                                      </w:divBdr>
                                    </w:div>
                                  </w:divsChild>
                                </w:div>
                                <w:div w:id="2129857707">
                                  <w:marLeft w:val="0"/>
                                  <w:marRight w:val="0"/>
                                  <w:marTop w:val="0"/>
                                  <w:marBottom w:val="150"/>
                                  <w:divBdr>
                                    <w:top w:val="none" w:sz="0" w:space="0" w:color="auto"/>
                                    <w:left w:val="none" w:sz="0" w:space="0" w:color="auto"/>
                                    <w:bottom w:val="none" w:sz="0" w:space="0" w:color="auto"/>
                                    <w:right w:val="none" w:sz="0" w:space="0" w:color="auto"/>
                                  </w:divBdr>
                                  <w:divsChild>
                                    <w:div w:id="1431318947">
                                      <w:marLeft w:val="0"/>
                                      <w:marRight w:val="0"/>
                                      <w:marTop w:val="60"/>
                                      <w:marBottom w:val="0"/>
                                      <w:divBdr>
                                        <w:top w:val="none" w:sz="0" w:space="0" w:color="auto"/>
                                        <w:left w:val="none" w:sz="0" w:space="0" w:color="auto"/>
                                        <w:bottom w:val="none" w:sz="0" w:space="0" w:color="auto"/>
                                        <w:right w:val="none" w:sz="0" w:space="0" w:color="auto"/>
                                      </w:divBdr>
                                    </w:div>
                                    <w:div w:id="1296449363">
                                      <w:marLeft w:val="0"/>
                                      <w:marRight w:val="0"/>
                                      <w:marTop w:val="0"/>
                                      <w:marBottom w:val="0"/>
                                      <w:divBdr>
                                        <w:top w:val="none" w:sz="0" w:space="0" w:color="auto"/>
                                        <w:left w:val="none" w:sz="0" w:space="0" w:color="auto"/>
                                        <w:bottom w:val="none" w:sz="0" w:space="0" w:color="auto"/>
                                        <w:right w:val="none" w:sz="0" w:space="0" w:color="auto"/>
                                      </w:divBdr>
                                    </w:div>
                                  </w:divsChild>
                                </w:div>
                                <w:div w:id="387732483">
                                  <w:marLeft w:val="0"/>
                                  <w:marRight w:val="0"/>
                                  <w:marTop w:val="0"/>
                                  <w:marBottom w:val="150"/>
                                  <w:divBdr>
                                    <w:top w:val="none" w:sz="0" w:space="0" w:color="auto"/>
                                    <w:left w:val="none" w:sz="0" w:space="0" w:color="auto"/>
                                    <w:bottom w:val="none" w:sz="0" w:space="0" w:color="auto"/>
                                    <w:right w:val="none" w:sz="0" w:space="0" w:color="auto"/>
                                  </w:divBdr>
                                  <w:divsChild>
                                    <w:div w:id="119302886">
                                      <w:marLeft w:val="0"/>
                                      <w:marRight w:val="0"/>
                                      <w:marTop w:val="0"/>
                                      <w:marBottom w:val="0"/>
                                      <w:divBdr>
                                        <w:top w:val="none" w:sz="0" w:space="0" w:color="auto"/>
                                        <w:left w:val="none" w:sz="0" w:space="0" w:color="auto"/>
                                        <w:bottom w:val="none" w:sz="0" w:space="0" w:color="auto"/>
                                        <w:right w:val="none" w:sz="0" w:space="0" w:color="auto"/>
                                      </w:divBdr>
                                    </w:div>
                                  </w:divsChild>
                                </w:div>
                                <w:div w:id="324937870">
                                  <w:marLeft w:val="0"/>
                                  <w:marRight w:val="0"/>
                                  <w:marTop w:val="0"/>
                                  <w:marBottom w:val="150"/>
                                  <w:divBdr>
                                    <w:top w:val="none" w:sz="0" w:space="0" w:color="auto"/>
                                    <w:left w:val="none" w:sz="0" w:space="0" w:color="auto"/>
                                    <w:bottom w:val="none" w:sz="0" w:space="0" w:color="auto"/>
                                    <w:right w:val="none" w:sz="0" w:space="0" w:color="auto"/>
                                  </w:divBdr>
                                  <w:divsChild>
                                    <w:div w:id="1882471452">
                                      <w:marLeft w:val="0"/>
                                      <w:marRight w:val="0"/>
                                      <w:marTop w:val="0"/>
                                      <w:marBottom w:val="0"/>
                                      <w:divBdr>
                                        <w:top w:val="none" w:sz="0" w:space="0" w:color="auto"/>
                                        <w:left w:val="none" w:sz="0" w:space="0" w:color="auto"/>
                                        <w:bottom w:val="none" w:sz="0" w:space="0" w:color="auto"/>
                                        <w:right w:val="none" w:sz="0" w:space="0" w:color="auto"/>
                                      </w:divBdr>
                                      <w:divsChild>
                                        <w:div w:id="323702471">
                                          <w:marLeft w:val="0"/>
                                          <w:marRight w:val="0"/>
                                          <w:marTop w:val="0"/>
                                          <w:marBottom w:val="150"/>
                                          <w:divBdr>
                                            <w:top w:val="none" w:sz="0" w:space="0" w:color="auto"/>
                                            <w:left w:val="none" w:sz="0" w:space="0" w:color="auto"/>
                                            <w:bottom w:val="none" w:sz="0" w:space="0" w:color="auto"/>
                                            <w:right w:val="none" w:sz="0" w:space="0" w:color="auto"/>
                                          </w:divBdr>
                                        </w:div>
                                        <w:div w:id="1118524101">
                                          <w:marLeft w:val="0"/>
                                          <w:marRight w:val="0"/>
                                          <w:marTop w:val="0"/>
                                          <w:marBottom w:val="150"/>
                                          <w:divBdr>
                                            <w:top w:val="none" w:sz="0" w:space="0" w:color="auto"/>
                                            <w:left w:val="none" w:sz="0" w:space="0" w:color="auto"/>
                                            <w:bottom w:val="none" w:sz="0" w:space="0" w:color="auto"/>
                                            <w:right w:val="none" w:sz="0" w:space="0" w:color="auto"/>
                                          </w:divBdr>
                                          <w:divsChild>
                                            <w:div w:id="8870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13497">
          <w:marLeft w:val="0"/>
          <w:marRight w:val="0"/>
          <w:marTop w:val="0"/>
          <w:marBottom w:val="0"/>
          <w:divBdr>
            <w:top w:val="none" w:sz="0" w:space="0" w:color="auto"/>
            <w:left w:val="none" w:sz="0" w:space="0" w:color="auto"/>
            <w:bottom w:val="none" w:sz="0" w:space="0" w:color="auto"/>
            <w:right w:val="none" w:sz="0" w:space="0" w:color="auto"/>
          </w:divBdr>
          <w:divsChild>
            <w:div w:id="859665440">
              <w:marLeft w:val="0"/>
              <w:marRight w:val="0"/>
              <w:marTop w:val="0"/>
              <w:marBottom w:val="0"/>
              <w:divBdr>
                <w:top w:val="single" w:sz="6" w:space="0" w:color="CCCCCC"/>
                <w:left w:val="single" w:sz="6" w:space="0" w:color="CCCCCC"/>
                <w:bottom w:val="single" w:sz="6" w:space="0" w:color="CCCCCC"/>
                <w:right w:val="single" w:sz="6" w:space="0" w:color="CCCCCC"/>
              </w:divBdr>
              <w:divsChild>
                <w:div w:id="756483791">
                  <w:marLeft w:val="120"/>
                  <w:marRight w:val="120"/>
                  <w:marTop w:val="150"/>
                  <w:marBottom w:val="150"/>
                  <w:divBdr>
                    <w:top w:val="none" w:sz="0" w:space="0" w:color="auto"/>
                    <w:left w:val="none" w:sz="0" w:space="0" w:color="auto"/>
                    <w:bottom w:val="none" w:sz="0" w:space="0" w:color="auto"/>
                    <w:right w:val="none" w:sz="0" w:space="0" w:color="auto"/>
                  </w:divBdr>
                  <w:divsChild>
                    <w:div w:id="775447295">
                      <w:marLeft w:val="0"/>
                      <w:marRight w:val="0"/>
                      <w:marTop w:val="0"/>
                      <w:marBottom w:val="60"/>
                      <w:divBdr>
                        <w:top w:val="none" w:sz="0" w:space="0" w:color="auto"/>
                        <w:left w:val="none" w:sz="0" w:space="0" w:color="auto"/>
                        <w:bottom w:val="none" w:sz="0" w:space="0" w:color="auto"/>
                        <w:right w:val="none" w:sz="0" w:space="0" w:color="auto"/>
                      </w:divBdr>
                      <w:divsChild>
                        <w:div w:id="578322362">
                          <w:marLeft w:val="0"/>
                          <w:marRight w:val="0"/>
                          <w:marTop w:val="0"/>
                          <w:marBottom w:val="0"/>
                          <w:divBdr>
                            <w:top w:val="none" w:sz="0" w:space="0" w:color="auto"/>
                            <w:left w:val="none" w:sz="0" w:space="0" w:color="auto"/>
                            <w:bottom w:val="none" w:sz="0" w:space="0" w:color="auto"/>
                            <w:right w:val="none" w:sz="0" w:space="0" w:color="auto"/>
                          </w:divBdr>
                          <w:divsChild>
                            <w:div w:id="1876387817">
                              <w:marLeft w:val="0"/>
                              <w:marRight w:val="0"/>
                              <w:marTop w:val="0"/>
                              <w:marBottom w:val="0"/>
                              <w:divBdr>
                                <w:top w:val="none" w:sz="0" w:space="0" w:color="auto"/>
                                <w:left w:val="none" w:sz="0" w:space="0" w:color="auto"/>
                                <w:bottom w:val="none" w:sz="0" w:space="0" w:color="auto"/>
                                <w:right w:val="none" w:sz="0" w:space="0" w:color="auto"/>
                              </w:divBdr>
                            </w:div>
                            <w:div w:id="504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1107">
                      <w:marLeft w:val="0"/>
                      <w:marRight w:val="0"/>
                      <w:marTop w:val="0"/>
                      <w:marBottom w:val="0"/>
                      <w:divBdr>
                        <w:top w:val="none" w:sz="0" w:space="0" w:color="auto"/>
                        <w:left w:val="none" w:sz="0" w:space="0" w:color="auto"/>
                        <w:bottom w:val="none" w:sz="0" w:space="0" w:color="auto"/>
                        <w:right w:val="none" w:sz="0" w:space="0" w:color="auto"/>
                      </w:divBdr>
                      <w:divsChild>
                        <w:div w:id="680280076">
                          <w:marLeft w:val="120"/>
                          <w:marRight w:val="120"/>
                          <w:marTop w:val="150"/>
                          <w:marBottom w:val="150"/>
                          <w:divBdr>
                            <w:top w:val="none" w:sz="0" w:space="0" w:color="auto"/>
                            <w:left w:val="none" w:sz="0" w:space="0" w:color="auto"/>
                            <w:bottom w:val="none" w:sz="0" w:space="0" w:color="auto"/>
                            <w:right w:val="none" w:sz="0" w:space="0" w:color="auto"/>
                          </w:divBdr>
                          <w:divsChild>
                            <w:div w:id="1376730658">
                              <w:marLeft w:val="0"/>
                              <w:marRight w:val="0"/>
                              <w:marTop w:val="0"/>
                              <w:marBottom w:val="0"/>
                              <w:divBdr>
                                <w:top w:val="none" w:sz="0" w:space="0" w:color="auto"/>
                                <w:left w:val="none" w:sz="0" w:space="0" w:color="auto"/>
                                <w:bottom w:val="none" w:sz="0" w:space="0" w:color="auto"/>
                                <w:right w:val="none" w:sz="0" w:space="0" w:color="auto"/>
                              </w:divBdr>
                              <w:divsChild>
                                <w:div w:id="737049145">
                                  <w:marLeft w:val="0"/>
                                  <w:marRight w:val="0"/>
                                  <w:marTop w:val="0"/>
                                  <w:marBottom w:val="150"/>
                                  <w:divBdr>
                                    <w:top w:val="none" w:sz="0" w:space="0" w:color="auto"/>
                                    <w:left w:val="none" w:sz="0" w:space="0" w:color="auto"/>
                                    <w:bottom w:val="none" w:sz="0" w:space="0" w:color="auto"/>
                                    <w:right w:val="none" w:sz="0" w:space="0" w:color="auto"/>
                                  </w:divBdr>
                                  <w:divsChild>
                                    <w:div w:id="288047076">
                                      <w:marLeft w:val="0"/>
                                      <w:marRight w:val="0"/>
                                      <w:marTop w:val="0"/>
                                      <w:marBottom w:val="0"/>
                                      <w:divBdr>
                                        <w:top w:val="none" w:sz="0" w:space="0" w:color="auto"/>
                                        <w:left w:val="none" w:sz="0" w:space="0" w:color="auto"/>
                                        <w:bottom w:val="none" w:sz="0" w:space="0" w:color="auto"/>
                                        <w:right w:val="none" w:sz="0" w:space="0" w:color="auto"/>
                                      </w:divBdr>
                                      <w:divsChild>
                                        <w:div w:id="18839013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5289382">
                                  <w:marLeft w:val="0"/>
                                  <w:marRight w:val="0"/>
                                  <w:marTop w:val="0"/>
                                  <w:marBottom w:val="150"/>
                                  <w:divBdr>
                                    <w:top w:val="none" w:sz="0" w:space="0" w:color="auto"/>
                                    <w:left w:val="none" w:sz="0" w:space="0" w:color="auto"/>
                                    <w:bottom w:val="none" w:sz="0" w:space="0" w:color="auto"/>
                                    <w:right w:val="none" w:sz="0" w:space="0" w:color="auto"/>
                                  </w:divBdr>
                                  <w:divsChild>
                                    <w:div w:id="636299169">
                                      <w:marLeft w:val="0"/>
                                      <w:marRight w:val="0"/>
                                      <w:marTop w:val="0"/>
                                      <w:marBottom w:val="0"/>
                                      <w:divBdr>
                                        <w:top w:val="none" w:sz="0" w:space="0" w:color="auto"/>
                                        <w:left w:val="none" w:sz="0" w:space="0" w:color="auto"/>
                                        <w:bottom w:val="none" w:sz="0" w:space="0" w:color="auto"/>
                                        <w:right w:val="none" w:sz="0" w:space="0" w:color="auto"/>
                                      </w:divBdr>
                                      <w:divsChild>
                                        <w:div w:id="269515165">
                                          <w:marLeft w:val="0"/>
                                          <w:marRight w:val="0"/>
                                          <w:marTop w:val="60"/>
                                          <w:marBottom w:val="0"/>
                                          <w:divBdr>
                                            <w:top w:val="none" w:sz="0" w:space="0" w:color="auto"/>
                                            <w:left w:val="none" w:sz="0" w:space="0" w:color="auto"/>
                                            <w:bottom w:val="none" w:sz="0" w:space="0" w:color="auto"/>
                                            <w:right w:val="none" w:sz="0" w:space="0" w:color="auto"/>
                                          </w:divBdr>
                                        </w:div>
                                      </w:divsChild>
                                    </w:div>
                                    <w:div w:id="1318261908">
                                      <w:marLeft w:val="0"/>
                                      <w:marRight w:val="0"/>
                                      <w:marTop w:val="0"/>
                                      <w:marBottom w:val="0"/>
                                      <w:divBdr>
                                        <w:top w:val="none" w:sz="0" w:space="0" w:color="auto"/>
                                        <w:left w:val="none" w:sz="0" w:space="0" w:color="auto"/>
                                        <w:bottom w:val="none" w:sz="0" w:space="0" w:color="auto"/>
                                        <w:right w:val="none" w:sz="0" w:space="0" w:color="auto"/>
                                      </w:divBdr>
                                    </w:div>
                                  </w:divsChild>
                                </w:div>
                                <w:div w:id="1197500331">
                                  <w:marLeft w:val="0"/>
                                  <w:marRight w:val="0"/>
                                  <w:marTop w:val="0"/>
                                  <w:marBottom w:val="150"/>
                                  <w:divBdr>
                                    <w:top w:val="none" w:sz="0" w:space="0" w:color="auto"/>
                                    <w:left w:val="none" w:sz="0" w:space="0" w:color="auto"/>
                                    <w:bottom w:val="none" w:sz="0" w:space="0" w:color="auto"/>
                                    <w:right w:val="none" w:sz="0" w:space="0" w:color="auto"/>
                                  </w:divBdr>
                                  <w:divsChild>
                                    <w:div w:id="1850560489">
                                      <w:marLeft w:val="0"/>
                                      <w:marRight w:val="0"/>
                                      <w:marTop w:val="0"/>
                                      <w:marBottom w:val="0"/>
                                      <w:divBdr>
                                        <w:top w:val="none" w:sz="0" w:space="0" w:color="auto"/>
                                        <w:left w:val="none" w:sz="0" w:space="0" w:color="auto"/>
                                        <w:bottom w:val="none" w:sz="0" w:space="0" w:color="auto"/>
                                        <w:right w:val="none" w:sz="0" w:space="0" w:color="auto"/>
                                      </w:divBdr>
                                      <w:divsChild>
                                        <w:div w:id="1638727940">
                                          <w:marLeft w:val="0"/>
                                          <w:marRight w:val="0"/>
                                          <w:marTop w:val="60"/>
                                          <w:marBottom w:val="0"/>
                                          <w:divBdr>
                                            <w:top w:val="none" w:sz="0" w:space="0" w:color="auto"/>
                                            <w:left w:val="none" w:sz="0" w:space="0" w:color="auto"/>
                                            <w:bottom w:val="none" w:sz="0" w:space="0" w:color="auto"/>
                                            <w:right w:val="none" w:sz="0" w:space="0" w:color="auto"/>
                                          </w:divBdr>
                                        </w:div>
                                      </w:divsChild>
                                    </w:div>
                                    <w:div w:id="808475343">
                                      <w:marLeft w:val="0"/>
                                      <w:marRight w:val="0"/>
                                      <w:marTop w:val="0"/>
                                      <w:marBottom w:val="0"/>
                                      <w:divBdr>
                                        <w:top w:val="none" w:sz="0" w:space="0" w:color="auto"/>
                                        <w:left w:val="none" w:sz="0" w:space="0" w:color="auto"/>
                                        <w:bottom w:val="none" w:sz="0" w:space="0" w:color="auto"/>
                                        <w:right w:val="none" w:sz="0" w:space="0" w:color="auto"/>
                                      </w:divBdr>
                                    </w:div>
                                  </w:divsChild>
                                </w:div>
                                <w:div w:id="492111863">
                                  <w:marLeft w:val="0"/>
                                  <w:marRight w:val="0"/>
                                  <w:marTop w:val="0"/>
                                  <w:marBottom w:val="150"/>
                                  <w:divBdr>
                                    <w:top w:val="none" w:sz="0" w:space="0" w:color="auto"/>
                                    <w:left w:val="none" w:sz="0" w:space="0" w:color="auto"/>
                                    <w:bottom w:val="none" w:sz="0" w:space="0" w:color="auto"/>
                                    <w:right w:val="none" w:sz="0" w:space="0" w:color="auto"/>
                                  </w:divBdr>
                                  <w:divsChild>
                                    <w:div w:id="898248483">
                                      <w:marLeft w:val="0"/>
                                      <w:marRight w:val="0"/>
                                      <w:marTop w:val="0"/>
                                      <w:marBottom w:val="0"/>
                                      <w:divBdr>
                                        <w:top w:val="none" w:sz="0" w:space="0" w:color="auto"/>
                                        <w:left w:val="none" w:sz="0" w:space="0" w:color="auto"/>
                                        <w:bottom w:val="none" w:sz="0" w:space="0" w:color="auto"/>
                                        <w:right w:val="none" w:sz="0" w:space="0" w:color="auto"/>
                                      </w:divBdr>
                                    </w:div>
                                    <w:div w:id="1589659677">
                                      <w:marLeft w:val="0"/>
                                      <w:marRight w:val="0"/>
                                      <w:marTop w:val="0"/>
                                      <w:marBottom w:val="0"/>
                                      <w:divBdr>
                                        <w:top w:val="none" w:sz="0" w:space="0" w:color="auto"/>
                                        <w:left w:val="none" w:sz="0" w:space="0" w:color="auto"/>
                                        <w:bottom w:val="none" w:sz="0" w:space="0" w:color="auto"/>
                                        <w:right w:val="none" w:sz="0" w:space="0" w:color="auto"/>
                                      </w:divBdr>
                                    </w:div>
                                  </w:divsChild>
                                </w:div>
                                <w:div w:id="1449398097">
                                  <w:marLeft w:val="0"/>
                                  <w:marRight w:val="0"/>
                                  <w:marTop w:val="0"/>
                                  <w:marBottom w:val="150"/>
                                  <w:divBdr>
                                    <w:top w:val="none" w:sz="0" w:space="0" w:color="auto"/>
                                    <w:left w:val="none" w:sz="0" w:space="0" w:color="auto"/>
                                    <w:bottom w:val="none" w:sz="0" w:space="0" w:color="auto"/>
                                    <w:right w:val="none" w:sz="0" w:space="0" w:color="auto"/>
                                  </w:divBdr>
                                  <w:divsChild>
                                    <w:div w:id="435054378">
                                      <w:marLeft w:val="0"/>
                                      <w:marRight w:val="0"/>
                                      <w:marTop w:val="0"/>
                                      <w:marBottom w:val="0"/>
                                      <w:divBdr>
                                        <w:top w:val="none" w:sz="0" w:space="0" w:color="auto"/>
                                        <w:left w:val="none" w:sz="0" w:space="0" w:color="auto"/>
                                        <w:bottom w:val="none" w:sz="0" w:space="0" w:color="auto"/>
                                        <w:right w:val="none" w:sz="0" w:space="0" w:color="auto"/>
                                      </w:divBdr>
                                    </w:div>
                                  </w:divsChild>
                                </w:div>
                                <w:div w:id="168837744">
                                  <w:marLeft w:val="0"/>
                                  <w:marRight w:val="0"/>
                                  <w:marTop w:val="0"/>
                                  <w:marBottom w:val="150"/>
                                  <w:divBdr>
                                    <w:top w:val="none" w:sz="0" w:space="0" w:color="auto"/>
                                    <w:left w:val="none" w:sz="0" w:space="0" w:color="auto"/>
                                    <w:bottom w:val="none" w:sz="0" w:space="0" w:color="auto"/>
                                    <w:right w:val="none" w:sz="0" w:space="0" w:color="auto"/>
                                  </w:divBdr>
                                  <w:divsChild>
                                    <w:div w:id="3386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116927">
          <w:marLeft w:val="0"/>
          <w:marRight w:val="0"/>
          <w:marTop w:val="0"/>
          <w:marBottom w:val="0"/>
          <w:divBdr>
            <w:top w:val="none" w:sz="0" w:space="0" w:color="auto"/>
            <w:left w:val="none" w:sz="0" w:space="0" w:color="auto"/>
            <w:bottom w:val="none" w:sz="0" w:space="0" w:color="auto"/>
            <w:right w:val="none" w:sz="0" w:space="0" w:color="auto"/>
          </w:divBdr>
          <w:divsChild>
            <w:div w:id="1611359079">
              <w:marLeft w:val="-3225"/>
              <w:marRight w:val="0"/>
              <w:marTop w:val="0"/>
              <w:marBottom w:val="0"/>
              <w:divBdr>
                <w:top w:val="single" w:sz="6" w:space="0" w:color="DDDDDD"/>
                <w:left w:val="single" w:sz="6" w:space="0" w:color="DDDDDD"/>
                <w:bottom w:val="single" w:sz="6" w:space="0" w:color="DDDDDD"/>
                <w:right w:val="single" w:sz="6" w:space="0" w:color="DDDDDD"/>
              </w:divBdr>
              <w:divsChild>
                <w:div w:id="178157665">
                  <w:marLeft w:val="450"/>
                  <w:marRight w:val="450"/>
                  <w:marTop w:val="240"/>
                  <w:marBottom w:val="330"/>
                  <w:divBdr>
                    <w:top w:val="none" w:sz="0" w:space="0" w:color="auto"/>
                    <w:left w:val="none" w:sz="0" w:space="0" w:color="auto"/>
                    <w:bottom w:val="none" w:sz="0" w:space="0" w:color="auto"/>
                    <w:right w:val="none" w:sz="0" w:space="0" w:color="auto"/>
                  </w:divBdr>
                  <w:divsChild>
                    <w:div w:id="607858010">
                      <w:marLeft w:val="0"/>
                      <w:marRight w:val="0"/>
                      <w:marTop w:val="0"/>
                      <w:marBottom w:val="150"/>
                      <w:divBdr>
                        <w:top w:val="none" w:sz="0" w:space="0" w:color="auto"/>
                        <w:left w:val="none" w:sz="0" w:space="0" w:color="auto"/>
                        <w:bottom w:val="none" w:sz="0" w:space="0" w:color="auto"/>
                        <w:right w:val="none" w:sz="0" w:space="0" w:color="auto"/>
                      </w:divBdr>
                    </w:div>
                    <w:div w:id="663164509">
                      <w:marLeft w:val="0"/>
                      <w:marRight w:val="0"/>
                      <w:marTop w:val="0"/>
                      <w:marBottom w:val="0"/>
                      <w:divBdr>
                        <w:top w:val="none" w:sz="0" w:space="0" w:color="auto"/>
                        <w:left w:val="none" w:sz="0" w:space="0" w:color="auto"/>
                        <w:bottom w:val="none" w:sz="0" w:space="0" w:color="auto"/>
                        <w:right w:val="none" w:sz="0" w:space="0" w:color="auto"/>
                      </w:divBdr>
                      <w:divsChild>
                        <w:div w:id="1412770773">
                          <w:marLeft w:val="0"/>
                          <w:marRight w:val="0"/>
                          <w:marTop w:val="0"/>
                          <w:marBottom w:val="0"/>
                          <w:divBdr>
                            <w:top w:val="none" w:sz="0" w:space="0" w:color="auto"/>
                            <w:left w:val="none" w:sz="0" w:space="0" w:color="auto"/>
                            <w:bottom w:val="none" w:sz="0" w:space="0" w:color="auto"/>
                            <w:right w:val="none" w:sz="0" w:space="0" w:color="auto"/>
                          </w:divBdr>
                          <w:divsChild>
                            <w:div w:id="623775848">
                              <w:marLeft w:val="0"/>
                              <w:marRight w:val="0"/>
                              <w:marTop w:val="0"/>
                              <w:marBottom w:val="0"/>
                              <w:divBdr>
                                <w:top w:val="none" w:sz="0" w:space="0" w:color="auto"/>
                                <w:left w:val="none" w:sz="0" w:space="0" w:color="auto"/>
                                <w:bottom w:val="none" w:sz="0" w:space="0" w:color="auto"/>
                                <w:right w:val="none" w:sz="0" w:space="0" w:color="auto"/>
                              </w:divBdr>
                              <w:divsChild>
                                <w:div w:id="527378743">
                                  <w:marLeft w:val="0"/>
                                  <w:marRight w:val="150"/>
                                  <w:marTop w:val="0"/>
                                  <w:marBottom w:val="375"/>
                                  <w:divBdr>
                                    <w:top w:val="none" w:sz="0" w:space="0" w:color="auto"/>
                                    <w:left w:val="none" w:sz="0" w:space="0" w:color="auto"/>
                                    <w:bottom w:val="none" w:sz="0" w:space="0" w:color="auto"/>
                                    <w:right w:val="none" w:sz="0" w:space="0" w:color="auto"/>
                                  </w:divBdr>
                                </w:div>
                              </w:divsChild>
                            </w:div>
                            <w:div w:id="1892115285">
                              <w:marLeft w:val="0"/>
                              <w:marRight w:val="0"/>
                              <w:marTop w:val="0"/>
                              <w:marBottom w:val="0"/>
                              <w:divBdr>
                                <w:top w:val="none" w:sz="0" w:space="0" w:color="auto"/>
                                <w:left w:val="none" w:sz="0" w:space="0" w:color="auto"/>
                                <w:bottom w:val="none" w:sz="0" w:space="0" w:color="auto"/>
                                <w:right w:val="none" w:sz="0" w:space="0" w:color="auto"/>
                              </w:divBdr>
                              <w:divsChild>
                                <w:div w:id="347829135">
                                  <w:marLeft w:val="450"/>
                                  <w:marRight w:val="450"/>
                                  <w:marTop w:val="24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431526">
          <w:marLeft w:val="0"/>
          <w:marRight w:val="0"/>
          <w:marTop w:val="0"/>
          <w:marBottom w:val="0"/>
          <w:divBdr>
            <w:top w:val="none" w:sz="0" w:space="0" w:color="auto"/>
            <w:left w:val="none" w:sz="0" w:space="0" w:color="auto"/>
            <w:bottom w:val="none" w:sz="0" w:space="0" w:color="auto"/>
            <w:right w:val="none" w:sz="0" w:space="0" w:color="auto"/>
          </w:divBdr>
        </w:div>
      </w:divsChild>
    </w:div>
    <w:div w:id="2030446909">
      <w:bodyDiv w:val="1"/>
      <w:marLeft w:val="150"/>
      <w:marRight w:val="150"/>
      <w:marTop w:val="0"/>
      <w:marBottom w:val="0"/>
      <w:divBdr>
        <w:top w:val="none" w:sz="0" w:space="0" w:color="auto"/>
        <w:left w:val="none" w:sz="0" w:space="0" w:color="auto"/>
        <w:bottom w:val="none" w:sz="0" w:space="0" w:color="auto"/>
        <w:right w:val="none" w:sz="0" w:space="0" w:color="auto"/>
      </w:divBdr>
      <w:divsChild>
        <w:div w:id="70544757">
          <w:marLeft w:val="0"/>
          <w:marRight w:val="0"/>
          <w:marTop w:val="225"/>
          <w:marBottom w:val="0"/>
          <w:divBdr>
            <w:top w:val="none" w:sz="0" w:space="0" w:color="auto"/>
            <w:left w:val="none" w:sz="0" w:space="0" w:color="auto"/>
            <w:bottom w:val="none" w:sz="0" w:space="0" w:color="auto"/>
            <w:right w:val="none" w:sz="0" w:space="0" w:color="auto"/>
          </w:divBdr>
        </w:div>
        <w:div w:id="1336028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remecourt.gov/opinions/09pdf/08-970.pdf" TargetMode="External"/><Relationship Id="rId3" Type="http://schemas.openxmlformats.org/officeDocument/2006/relationships/settings" Target="settings.xml"/><Relationship Id="rId7" Type="http://schemas.openxmlformats.org/officeDocument/2006/relationships/hyperlink" Target="http://www.almlegalin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lpdirectory.com/" TargetMode="External"/><Relationship Id="rId11" Type="http://schemas.openxmlformats.org/officeDocument/2006/relationships/theme" Target="theme/theme1.xml"/><Relationship Id="rId5" Type="http://schemas.openxmlformats.org/officeDocument/2006/relationships/hyperlink" Target="http://dealbook.nytimes.com/2013/03/26/dla-piper-warns-employees-against-offensive-humor-in-e-mai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ytimes.com/1998/05/02/us/excerpts-from-the-tapes-of-webster-hubbell-s-prison-phone-conversations.html?pagewanted=all&amp;src=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4</cp:revision>
  <dcterms:created xsi:type="dcterms:W3CDTF">2014-01-06T16:57:00Z</dcterms:created>
  <dcterms:modified xsi:type="dcterms:W3CDTF">2014-01-06T17:04:00Z</dcterms:modified>
</cp:coreProperties>
</file>