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39" w:rsidRPr="00AE6D39" w:rsidRDefault="00AE6D39" w:rsidP="00AE6D39">
      <w:pPr>
        <w:spacing w:after="0" w:line="360" w:lineRule="atLeast"/>
        <w:rPr>
          <w:rFonts w:ascii="Arial" w:hAnsi="Arial" w:cs="Arial"/>
          <w:color w:val="A81817"/>
          <w:sz w:val="16"/>
          <w:szCs w:val="16"/>
          <w:lang w:val="en"/>
        </w:rPr>
      </w:pPr>
      <w:r w:rsidRPr="00AE6D39">
        <w:rPr>
          <w:rFonts w:ascii="Arial" w:hAnsi="Arial" w:cs="Arial"/>
          <w:color w:val="A81817"/>
          <w:sz w:val="16"/>
          <w:szCs w:val="16"/>
          <w:lang w:val="en"/>
        </w:rPr>
        <w:t>March 28, 2013</w:t>
      </w:r>
    </w:p>
    <w:p w:rsidR="00AE6D39" w:rsidRPr="00AE6D39" w:rsidRDefault="00AE6D39" w:rsidP="00AE6D39">
      <w:pPr>
        <w:pStyle w:val="Heading1"/>
        <w:rPr>
          <w:rFonts w:ascii="Georgia" w:hAnsi="Georgia"/>
          <w:sz w:val="28"/>
          <w:szCs w:val="28"/>
          <w:lang w:val="en"/>
        </w:rPr>
      </w:pPr>
      <w:r w:rsidRPr="00AE6D39">
        <w:rPr>
          <w:rFonts w:ascii="Georgia" w:hAnsi="Georgia"/>
          <w:sz w:val="28"/>
          <w:szCs w:val="28"/>
          <w:lang w:val="en"/>
        </w:rPr>
        <w:t>The Tyranny of the Billable Hour</w:t>
      </w:r>
    </w:p>
    <w:p w:rsidR="00AE6D39" w:rsidRPr="00AE6D39" w:rsidRDefault="00AE6D39" w:rsidP="00AE6D39">
      <w:pPr>
        <w:pStyle w:val="Heading6"/>
        <w:spacing w:before="30" w:after="30" w:line="288" w:lineRule="atLeast"/>
        <w:rPr>
          <w:rFonts w:ascii="Arial" w:hAnsi="Arial" w:cs="Arial"/>
          <w:b/>
          <w:bCs/>
          <w:color w:val="808080"/>
          <w:sz w:val="16"/>
          <w:szCs w:val="16"/>
          <w:lang w:val="en"/>
        </w:rPr>
      </w:pPr>
      <w:r w:rsidRPr="00AE6D39">
        <w:rPr>
          <w:rFonts w:ascii="Arial" w:hAnsi="Arial" w:cs="Arial"/>
          <w:b/>
          <w:bCs/>
          <w:color w:val="808080"/>
          <w:sz w:val="16"/>
          <w:szCs w:val="16"/>
          <w:lang w:val="en"/>
        </w:rPr>
        <w:t>By STEVEN J. HARPER</w:t>
      </w:r>
    </w:p>
    <w:p w:rsidR="00AE6D39" w:rsidRPr="00AE6D39" w:rsidRDefault="00AE6D39" w:rsidP="00AE6D39">
      <w:pPr>
        <w:spacing w:after="240" w:line="360" w:lineRule="atLeast"/>
        <w:rPr>
          <w:rFonts w:ascii="Georgia" w:hAnsi="Georgia" w:cs="Times New Roman"/>
          <w:color w:val="000000"/>
          <w:sz w:val="20"/>
          <w:szCs w:val="20"/>
          <w:lang w:val="en"/>
        </w:rPr>
      </w:pPr>
      <w:r w:rsidRPr="00AE6D39">
        <w:rPr>
          <w:rFonts w:ascii="Georgia" w:hAnsi="Georgia"/>
          <w:color w:val="000000"/>
          <w:sz w:val="20"/>
          <w:szCs w:val="20"/>
          <w:lang w:val="en"/>
        </w:rPr>
        <w:t xml:space="preserve">WILMETTE, Ill. </w:t>
      </w:r>
    </w:p>
    <w:p w:rsidR="00AE6D39" w:rsidRPr="00AE6D39"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“THAT bill shall know no limits,” </w:t>
      </w:r>
      <w:hyperlink r:id="rId5" w:history="1">
        <w:r w:rsidRPr="00AE6D39">
          <w:rPr>
            <w:rStyle w:val="Hyperlink"/>
            <w:rFonts w:ascii="Georgia" w:hAnsi="Georgia"/>
            <w:sz w:val="20"/>
            <w:szCs w:val="20"/>
            <w:lang w:val="en"/>
          </w:rPr>
          <w:t>wrote</w:t>
        </w:r>
      </w:hyperlink>
      <w:r w:rsidRPr="00AE6D39">
        <w:rPr>
          <w:rFonts w:ascii="Georgia" w:hAnsi="Georgia"/>
          <w:color w:val="000000"/>
          <w:sz w:val="20"/>
          <w:szCs w:val="20"/>
          <w:lang w:val="en"/>
        </w:rPr>
        <w:t xml:space="preserve"> one DLA Piper lawyer to another in 2010 in what the firm is now calling “unfortunate banter” between associates about work for a client. But what is truly unfortunate is the underlying billable-hour regime and the law-firm culture it has spawned. </w:t>
      </w:r>
    </w:p>
    <w:p w:rsidR="00AE6D39" w:rsidRPr="00AE6D39"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Lost in the furor surrounding one large firm’s current public relations headache are deeper problems that go to the heart of the prevailing big law-firm business model itself. Regrettably, as with previous episodes that have produced high-profile scandals, the present outcry will probably pass and the billable hour will endure. </w:t>
      </w:r>
    </w:p>
    <w:p w:rsidR="00AE6D39" w:rsidRPr="00AE6D39"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It shouldn’t. The billable-hour system is the way most lawyers in big firms charge clients, but it serves no one. Well, almost no one. It brings most equity partners in those firms great wealth. Law firm leaders call it a leveraged pyramid. Most associates call it a living hell. </w:t>
      </w:r>
    </w:p>
    <w:p w:rsidR="00AE6D39" w:rsidRPr="00AE6D39"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In a typical large firm, associates earn far less than the client revenues they generate. For example, a client receives an invoice totaling the number of hours each lawyer spends on the client’s matters, multiplied by the lawyer’s hourly rate, say $400 for a junior associate. Most big firms require associates to bill at least 1,900 hours a year, according to a survey last year by NALP, the Association for Legal Career Professionals. </w:t>
      </w:r>
    </w:p>
    <w:p w:rsidR="00AE6D39" w:rsidRPr="00AE6D39"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In 2009, DLA Piper announced that it had eliminated associates’ billable-hour requirements in favor of a performance-based reward system. However, the firm’s submission for the association’s current NALP </w:t>
      </w:r>
      <w:hyperlink r:id="rId6" w:history="1">
        <w:r w:rsidRPr="00AE6D39">
          <w:rPr>
            <w:rStyle w:val="Hyperlink"/>
            <w:rFonts w:ascii="Georgia" w:hAnsi="Georgia"/>
            <w:sz w:val="20"/>
            <w:szCs w:val="20"/>
            <w:lang w:val="en"/>
          </w:rPr>
          <w:t>Directory of Legal Employers</w:t>
        </w:r>
      </w:hyperlink>
      <w:r w:rsidRPr="00AE6D39">
        <w:rPr>
          <w:rFonts w:ascii="Georgia" w:hAnsi="Georgia"/>
          <w:color w:val="000000"/>
          <w:sz w:val="20"/>
          <w:szCs w:val="20"/>
          <w:lang w:val="en"/>
        </w:rPr>
        <w:t xml:space="preserve"> reports that it has a “minimum billable hour expectation.” In 2011, DLA Piper’s “average annual associate hours worked” (both billable and </w:t>
      </w:r>
      <w:proofErr w:type="spellStart"/>
      <w:r w:rsidRPr="00AE6D39">
        <w:rPr>
          <w:rFonts w:ascii="Georgia" w:hAnsi="Georgia"/>
          <w:color w:val="000000"/>
          <w:sz w:val="20"/>
          <w:szCs w:val="20"/>
          <w:lang w:val="en"/>
        </w:rPr>
        <w:t>nonbillable</w:t>
      </w:r>
      <w:proofErr w:type="spellEnd"/>
      <w:r w:rsidRPr="00AE6D39">
        <w:rPr>
          <w:rFonts w:ascii="Georgia" w:hAnsi="Georgia"/>
          <w:color w:val="000000"/>
          <w:sz w:val="20"/>
          <w:szCs w:val="20"/>
          <w:lang w:val="en"/>
        </w:rPr>
        <w:t xml:space="preserve">) was 2,462; the billable average was 1,831. </w:t>
      </w:r>
    </w:p>
    <w:p w:rsidR="00AE6D39" w:rsidRPr="00AE6D39"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At $400 an hour, a hypothetical 2,000-hour-a-year associate generates $800,000 a year for the firm. But the firm typically pays the salaried lawyer one-fourth of that amount or less. </w:t>
      </w:r>
    </w:p>
    <w:p w:rsidR="00AE6D39" w:rsidRPr="00AE6D39"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For associates, the goal is simple: meet the required (or expected) minimum number of billable hours to qualify for annual bonuses and salary increases. Billing 2,000 hours a year isn’t easy. It typically takes at least 50 hours a week to bill an honest 40 hours to a client. Add commuting time, bathroom breaks, lunch, holidays, an annual vacation and a little socializing, and most associates find themselves working evenings and weekends to “make their hours.” Most firms increase financial rewards as an associate’s </w:t>
      </w:r>
      <w:proofErr w:type="spellStart"/>
      <w:r w:rsidRPr="00AE6D39">
        <w:rPr>
          <w:rFonts w:ascii="Georgia" w:hAnsi="Georgia"/>
          <w:color w:val="000000"/>
          <w:sz w:val="20"/>
          <w:szCs w:val="20"/>
          <w:lang w:val="en"/>
        </w:rPr>
        <w:t>billables</w:t>
      </w:r>
      <w:proofErr w:type="spellEnd"/>
      <w:r w:rsidRPr="00AE6D39">
        <w:rPr>
          <w:rFonts w:ascii="Georgia" w:hAnsi="Georgia"/>
          <w:color w:val="000000"/>
          <w:sz w:val="20"/>
          <w:szCs w:val="20"/>
          <w:lang w:val="en"/>
        </w:rPr>
        <w:t xml:space="preserve"> move beyond the stated threshold. </w:t>
      </w:r>
    </w:p>
    <w:p w:rsidR="00AE6D39" w:rsidRPr="00AE6D39"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For partners, billable hours are a key measure of associate and partner productivity. More is better. The resulting culture pushes everyone harder. Meanwhile, each partner strives to maximize individual client billings that he or she controls. Those billings in most cases determine a partner’s annual share of the firm’s profits. Their clients also </w:t>
      </w:r>
      <w:r w:rsidRPr="00AE6D39">
        <w:rPr>
          <w:rFonts w:ascii="Georgia" w:hAnsi="Georgia"/>
          <w:color w:val="000000"/>
          <w:sz w:val="20"/>
          <w:szCs w:val="20"/>
          <w:lang w:val="en"/>
        </w:rPr>
        <w:lastRenderedPageBreak/>
        <w:t xml:space="preserve">become tickets to other firms. That makes partners reluctant to share too many important client responsibilities with their associates and fellow partners. </w:t>
      </w:r>
    </w:p>
    <w:p w:rsidR="00AE6D39" w:rsidRPr="00AE6D39"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For clients, the consequences of the billable-hour system can be absurd. Fatigue through overwork can produce negative returns — the critical document missed during a late-night marathon review; the error in the draft of a corporate filing that goes unnoticed. </w:t>
      </w:r>
    </w:p>
    <w:p w:rsidR="00AE6D39" w:rsidRPr="00AE6D39"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Why do clients tolerate this perverse system? Periodically they rebel, especially during economic downturns, but those revolutions have been short-lived and unsuccessful. A 2011 survey by </w:t>
      </w:r>
      <w:hyperlink r:id="rId7" w:history="1">
        <w:r w:rsidRPr="00AE6D39">
          <w:rPr>
            <w:rStyle w:val="Hyperlink"/>
            <w:rFonts w:ascii="Georgia" w:hAnsi="Georgia"/>
            <w:sz w:val="20"/>
            <w:szCs w:val="20"/>
            <w:lang w:val="en"/>
          </w:rPr>
          <w:t>ALM Legal Intelligence</w:t>
        </w:r>
      </w:hyperlink>
      <w:r w:rsidRPr="00AE6D39">
        <w:rPr>
          <w:rFonts w:ascii="Georgia" w:hAnsi="Georgia"/>
          <w:color w:val="000000"/>
          <w:sz w:val="20"/>
          <w:szCs w:val="20"/>
          <w:lang w:val="en"/>
        </w:rPr>
        <w:t xml:space="preserve">, an online data service, found that alternative fee arrangements accounted for only 16 percent of revenues at the nation’s largest law firms in 2010. Despite outcries for reform, the billable hour remains entrenched and the barriers to change are formidable. In many practice areas, including large and lucrative bankruptcy cases, prior court rulings (including the United States Supreme Court’s 2010 opinion in </w:t>
      </w:r>
      <w:hyperlink r:id="rId8" w:history="1">
        <w:r w:rsidRPr="00AE6D39">
          <w:rPr>
            <w:rStyle w:val="Hyperlink"/>
            <w:rFonts w:ascii="Georgia" w:hAnsi="Georgia"/>
            <w:sz w:val="20"/>
            <w:szCs w:val="20"/>
            <w:lang w:val="en"/>
          </w:rPr>
          <w:t>Perdue v. Kenny A.</w:t>
        </w:r>
      </w:hyperlink>
      <w:r w:rsidRPr="00AE6D39">
        <w:rPr>
          <w:rFonts w:ascii="Georgia" w:hAnsi="Georgia"/>
          <w:color w:val="000000"/>
          <w:sz w:val="20"/>
          <w:szCs w:val="20"/>
          <w:lang w:val="en"/>
        </w:rPr>
        <w:t xml:space="preserve">) essentially require lawyers to use the billable-hour approach if they want to assure approval of their fee petitions. </w:t>
      </w:r>
    </w:p>
    <w:p w:rsidR="00AE6D39" w:rsidRPr="00AE6D39"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There’s a way out of the mess. But it requires clients to press harder for alternative fee arrangements, courts to back away from policies that embed the billable hour, law firm leaders to stop rewarding excessive associate hours and senior partners to consider the deleterious consequences of their myopic focus on short-term profit-maximizing behavior. </w:t>
      </w:r>
    </w:p>
    <w:p w:rsidR="00AE6D39" w:rsidRPr="00AE6D39"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However it comes out, DLA Piper isn’t the first law firm to endure a client billing controversy. While at a big firm, Webster Hubbell, a former Arkansas Supreme Court justice and associate attorney general for President Bill Clinton, was caught billing clients for time that he never worked. He </w:t>
      </w:r>
      <w:hyperlink r:id="rId9" w:history="1">
        <w:r w:rsidRPr="00AE6D39">
          <w:rPr>
            <w:rStyle w:val="Hyperlink"/>
            <w:rFonts w:ascii="Georgia" w:hAnsi="Georgia"/>
            <w:sz w:val="20"/>
            <w:szCs w:val="20"/>
            <w:lang w:val="en"/>
          </w:rPr>
          <w:t>went to prison</w:t>
        </w:r>
      </w:hyperlink>
      <w:r w:rsidRPr="00AE6D39">
        <w:rPr>
          <w:rFonts w:ascii="Georgia" w:hAnsi="Georgia"/>
          <w:color w:val="000000"/>
          <w:sz w:val="20"/>
          <w:szCs w:val="20"/>
          <w:lang w:val="en"/>
        </w:rPr>
        <w:t xml:space="preserve">. A partner in a prominent Chicago law firm got into trouble when someone wondered how he could bill almost 6,000 hours annually over four consecutive years. He couldn’t. </w:t>
      </w:r>
    </w:p>
    <w:p w:rsidR="00AE6D39" w:rsidRPr="00AE6D39"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In fact, a cottage industry has now developed in auditing outside law firm invoices to clients. Even so, as the deceit associated with the billable hour continues undetected, equally insidious consequences of the entire system endure. The episodes of public embarrassment will remain infrequent, and the triggers producing them will be idiosyncratic. DLA Piper’s current notoriety began when a former client refused to pay his roughly $675,000 bill. The firm sued him last year, and its internal e-mails about the matter became subject to discovery. Before long, they landed on the front page of The New York Times. </w:t>
      </w:r>
    </w:p>
    <w:p w:rsidR="0041720D" w:rsidRDefault="00AE6D39" w:rsidP="00AE6D39">
      <w:pPr>
        <w:spacing w:after="240" w:line="360" w:lineRule="atLeast"/>
        <w:rPr>
          <w:rFonts w:ascii="Georgia" w:hAnsi="Georgia"/>
          <w:color w:val="000000"/>
          <w:sz w:val="20"/>
          <w:szCs w:val="20"/>
          <w:lang w:val="en"/>
        </w:rPr>
      </w:pPr>
      <w:r w:rsidRPr="00AE6D39">
        <w:rPr>
          <w:rFonts w:ascii="Georgia" w:hAnsi="Georgia"/>
          <w:color w:val="000000"/>
          <w:sz w:val="20"/>
          <w:szCs w:val="20"/>
          <w:lang w:val="en"/>
        </w:rPr>
        <w:t xml:space="preserve">DLA Piper said that the comments of its lawyers were “an inexcusable effort at humor.” What’s really not funny is the toll that the flawed system is taking on a vital profession. </w:t>
      </w:r>
    </w:p>
    <w:p w:rsidR="00AE6D39" w:rsidRPr="00AE6D39" w:rsidRDefault="00AE6D39" w:rsidP="00AE6D39">
      <w:pPr>
        <w:spacing w:after="240" w:line="360" w:lineRule="atLeast"/>
        <w:rPr>
          <w:sz w:val="16"/>
          <w:szCs w:val="16"/>
        </w:rPr>
      </w:pPr>
      <w:r w:rsidRPr="00AE6D39">
        <w:rPr>
          <w:sz w:val="16"/>
          <w:szCs w:val="16"/>
        </w:rPr>
        <w:t>http://www.nytimes</w:t>
      </w:r>
      <w:bookmarkStart w:id="0" w:name="_GoBack"/>
      <w:bookmarkEnd w:id="0"/>
      <w:r w:rsidRPr="00AE6D39">
        <w:rPr>
          <w:sz w:val="16"/>
          <w:szCs w:val="16"/>
        </w:rPr>
        <w:t>.com/2013/03/29/opinion/the-case-against-the-law-firm-billable-hour.html?pagewanted=print</w:t>
      </w:r>
    </w:p>
    <w:sectPr w:rsidR="00AE6D39" w:rsidRPr="00AE6D39" w:rsidSect="006413B4">
      <w:pgSz w:w="12240" w:h="15840"/>
      <w:pgMar w:top="1152" w:right="1152"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8D2C86"/>
    <w:multiLevelType w:val="multilevel"/>
    <w:tmpl w:val="9AF2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A903CF"/>
    <w:multiLevelType w:val="multilevel"/>
    <w:tmpl w:val="8896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2E"/>
    <w:rsid w:val="0041720D"/>
    <w:rsid w:val="00490B2E"/>
    <w:rsid w:val="006413B4"/>
    <w:rsid w:val="00812B42"/>
    <w:rsid w:val="00AE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C0576-FD4D-490E-83C9-74F3CBA1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13B4"/>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5">
    <w:name w:val="heading 5"/>
    <w:basedOn w:val="Normal"/>
    <w:next w:val="Normal"/>
    <w:link w:val="Heading5Char"/>
    <w:uiPriority w:val="9"/>
    <w:semiHidden/>
    <w:unhideWhenUsed/>
    <w:qFormat/>
    <w:rsid w:val="00AE6D3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6413B4"/>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3B4"/>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6413B4"/>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6413B4"/>
    <w:rPr>
      <w:strike w:val="0"/>
      <w:dstrike w:val="0"/>
      <w:color w:val="000066"/>
      <w:u w:val="none"/>
      <w:effect w:val="none"/>
    </w:rPr>
  </w:style>
  <w:style w:type="character" w:customStyle="1" w:styleId="Heading5Char">
    <w:name w:val="Heading 5 Char"/>
    <w:basedOn w:val="DefaultParagraphFont"/>
    <w:link w:val="Heading5"/>
    <w:uiPriority w:val="9"/>
    <w:semiHidden/>
    <w:rsid w:val="00AE6D39"/>
    <w:rPr>
      <w:rFonts w:asciiTheme="majorHAnsi" w:eastAsiaTheme="majorEastAsia" w:hAnsiTheme="majorHAnsi" w:cstheme="majorBidi"/>
      <w:color w:val="2E74B5" w:themeColor="accent1" w:themeShade="BF"/>
    </w:rPr>
  </w:style>
  <w:style w:type="paragraph" w:styleId="z-TopofForm">
    <w:name w:val="HTML Top of Form"/>
    <w:basedOn w:val="Normal"/>
    <w:next w:val="Normal"/>
    <w:link w:val="z-TopofFormChar"/>
    <w:hidden/>
    <w:uiPriority w:val="99"/>
    <w:semiHidden/>
    <w:unhideWhenUsed/>
    <w:rsid w:val="00AE6D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E6D39"/>
    <w:rPr>
      <w:rFonts w:ascii="Arial" w:eastAsia="Times New Roman" w:hAnsi="Arial" w:cs="Arial"/>
      <w:vanish/>
      <w:sz w:val="16"/>
      <w:szCs w:val="16"/>
    </w:rPr>
  </w:style>
  <w:style w:type="character" w:customStyle="1" w:styleId="labeldescription5">
    <w:name w:val="labeldescription5"/>
    <w:basedOn w:val="DefaultParagraphFont"/>
    <w:rsid w:val="00AE6D39"/>
    <w:rPr>
      <w:rFonts w:ascii="Arial" w:hAnsi="Arial" w:cs="Arial" w:hint="default"/>
      <w:b w:val="0"/>
      <w:bCs w:val="0"/>
      <w:color w:val="808080"/>
      <w:sz w:val="15"/>
      <w:szCs w:val="15"/>
    </w:rPr>
  </w:style>
  <w:style w:type="paragraph" w:styleId="z-BottomofForm">
    <w:name w:val="HTML Bottom of Form"/>
    <w:basedOn w:val="Normal"/>
    <w:next w:val="Normal"/>
    <w:link w:val="z-BottomofFormChar"/>
    <w:hidden/>
    <w:uiPriority w:val="99"/>
    <w:semiHidden/>
    <w:unhideWhenUsed/>
    <w:rsid w:val="00AE6D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E6D3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768338">
      <w:bodyDiv w:val="1"/>
      <w:marLeft w:val="150"/>
      <w:marRight w:val="150"/>
      <w:marTop w:val="0"/>
      <w:marBottom w:val="0"/>
      <w:divBdr>
        <w:top w:val="none" w:sz="0" w:space="0" w:color="auto"/>
        <w:left w:val="none" w:sz="0" w:space="0" w:color="auto"/>
        <w:bottom w:val="none" w:sz="0" w:space="0" w:color="auto"/>
        <w:right w:val="none" w:sz="0" w:space="0" w:color="auto"/>
      </w:divBdr>
      <w:divsChild>
        <w:div w:id="696663661">
          <w:marLeft w:val="0"/>
          <w:marRight w:val="0"/>
          <w:marTop w:val="225"/>
          <w:marBottom w:val="0"/>
          <w:divBdr>
            <w:top w:val="none" w:sz="0" w:space="0" w:color="auto"/>
            <w:left w:val="none" w:sz="0" w:space="0" w:color="auto"/>
            <w:bottom w:val="none" w:sz="0" w:space="0" w:color="auto"/>
            <w:right w:val="none" w:sz="0" w:space="0" w:color="auto"/>
          </w:divBdr>
        </w:div>
        <w:div w:id="1010060962">
          <w:marLeft w:val="0"/>
          <w:marRight w:val="0"/>
          <w:marTop w:val="0"/>
          <w:marBottom w:val="0"/>
          <w:divBdr>
            <w:top w:val="none" w:sz="0" w:space="0" w:color="auto"/>
            <w:left w:val="none" w:sz="0" w:space="0" w:color="auto"/>
            <w:bottom w:val="none" w:sz="0" w:space="0" w:color="auto"/>
            <w:right w:val="none" w:sz="0" w:space="0" w:color="auto"/>
          </w:divBdr>
          <w:divsChild>
            <w:div w:id="137649717">
              <w:marLeft w:val="0"/>
              <w:marRight w:val="0"/>
              <w:marTop w:val="0"/>
              <w:marBottom w:val="672"/>
              <w:divBdr>
                <w:top w:val="none" w:sz="0" w:space="0" w:color="auto"/>
                <w:left w:val="none" w:sz="0" w:space="0" w:color="auto"/>
                <w:bottom w:val="none" w:sz="0" w:space="0" w:color="auto"/>
                <w:right w:val="none" w:sz="0" w:space="0" w:color="auto"/>
              </w:divBdr>
            </w:div>
          </w:divsChild>
        </w:div>
        <w:div w:id="456222627">
          <w:marLeft w:val="0"/>
          <w:marRight w:val="0"/>
          <w:marTop w:val="0"/>
          <w:marBottom w:val="0"/>
          <w:divBdr>
            <w:top w:val="none" w:sz="0" w:space="0" w:color="auto"/>
            <w:left w:val="none" w:sz="0" w:space="0" w:color="auto"/>
            <w:bottom w:val="none" w:sz="0" w:space="0" w:color="auto"/>
            <w:right w:val="none" w:sz="0" w:space="0" w:color="auto"/>
          </w:divBdr>
          <w:divsChild>
            <w:div w:id="1443186143">
              <w:marLeft w:val="0"/>
              <w:marRight w:val="0"/>
              <w:marTop w:val="0"/>
              <w:marBottom w:val="0"/>
              <w:divBdr>
                <w:top w:val="single" w:sz="6" w:space="0" w:color="CCCCCC"/>
                <w:left w:val="single" w:sz="6" w:space="0" w:color="CCCCCC"/>
                <w:bottom w:val="single" w:sz="6" w:space="0" w:color="CCCCCC"/>
                <w:right w:val="single" w:sz="6" w:space="0" w:color="CCCCCC"/>
              </w:divBdr>
              <w:divsChild>
                <w:div w:id="1162549742">
                  <w:marLeft w:val="120"/>
                  <w:marRight w:val="120"/>
                  <w:marTop w:val="150"/>
                  <w:marBottom w:val="150"/>
                  <w:divBdr>
                    <w:top w:val="none" w:sz="0" w:space="0" w:color="auto"/>
                    <w:left w:val="none" w:sz="0" w:space="0" w:color="auto"/>
                    <w:bottom w:val="none" w:sz="0" w:space="0" w:color="auto"/>
                    <w:right w:val="none" w:sz="0" w:space="0" w:color="auto"/>
                  </w:divBdr>
                  <w:divsChild>
                    <w:div w:id="397486007">
                      <w:marLeft w:val="0"/>
                      <w:marRight w:val="0"/>
                      <w:marTop w:val="0"/>
                      <w:marBottom w:val="60"/>
                      <w:divBdr>
                        <w:top w:val="none" w:sz="0" w:space="0" w:color="auto"/>
                        <w:left w:val="none" w:sz="0" w:space="0" w:color="auto"/>
                        <w:bottom w:val="none" w:sz="0" w:space="0" w:color="auto"/>
                        <w:right w:val="none" w:sz="0" w:space="0" w:color="auto"/>
                      </w:divBdr>
                      <w:divsChild>
                        <w:div w:id="843785696">
                          <w:marLeft w:val="0"/>
                          <w:marRight w:val="0"/>
                          <w:marTop w:val="0"/>
                          <w:marBottom w:val="0"/>
                          <w:divBdr>
                            <w:top w:val="none" w:sz="0" w:space="0" w:color="auto"/>
                            <w:left w:val="none" w:sz="0" w:space="0" w:color="auto"/>
                            <w:bottom w:val="none" w:sz="0" w:space="0" w:color="auto"/>
                            <w:right w:val="none" w:sz="0" w:space="0" w:color="auto"/>
                          </w:divBdr>
                          <w:divsChild>
                            <w:div w:id="1195191114">
                              <w:marLeft w:val="0"/>
                              <w:marRight w:val="0"/>
                              <w:marTop w:val="0"/>
                              <w:marBottom w:val="0"/>
                              <w:divBdr>
                                <w:top w:val="none" w:sz="0" w:space="0" w:color="auto"/>
                                <w:left w:val="none" w:sz="0" w:space="0" w:color="auto"/>
                                <w:bottom w:val="none" w:sz="0" w:space="0" w:color="auto"/>
                                <w:right w:val="none" w:sz="0" w:space="0" w:color="auto"/>
                              </w:divBdr>
                            </w:div>
                            <w:div w:id="9504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3224">
                      <w:marLeft w:val="0"/>
                      <w:marRight w:val="0"/>
                      <w:marTop w:val="0"/>
                      <w:marBottom w:val="0"/>
                      <w:divBdr>
                        <w:top w:val="none" w:sz="0" w:space="0" w:color="auto"/>
                        <w:left w:val="none" w:sz="0" w:space="0" w:color="auto"/>
                        <w:bottom w:val="none" w:sz="0" w:space="0" w:color="auto"/>
                        <w:right w:val="none" w:sz="0" w:space="0" w:color="auto"/>
                      </w:divBdr>
                      <w:divsChild>
                        <w:div w:id="652493715">
                          <w:marLeft w:val="120"/>
                          <w:marRight w:val="120"/>
                          <w:marTop w:val="150"/>
                          <w:marBottom w:val="150"/>
                          <w:divBdr>
                            <w:top w:val="none" w:sz="0" w:space="0" w:color="auto"/>
                            <w:left w:val="none" w:sz="0" w:space="0" w:color="auto"/>
                            <w:bottom w:val="none" w:sz="0" w:space="0" w:color="auto"/>
                            <w:right w:val="none" w:sz="0" w:space="0" w:color="auto"/>
                          </w:divBdr>
                          <w:divsChild>
                            <w:div w:id="1720785542">
                              <w:marLeft w:val="0"/>
                              <w:marRight w:val="0"/>
                              <w:marTop w:val="0"/>
                              <w:marBottom w:val="0"/>
                              <w:divBdr>
                                <w:top w:val="none" w:sz="0" w:space="0" w:color="auto"/>
                                <w:left w:val="none" w:sz="0" w:space="0" w:color="auto"/>
                                <w:bottom w:val="none" w:sz="0" w:space="0" w:color="auto"/>
                                <w:right w:val="none" w:sz="0" w:space="0" w:color="auto"/>
                              </w:divBdr>
                              <w:divsChild>
                                <w:div w:id="1111436333">
                                  <w:marLeft w:val="0"/>
                                  <w:marRight w:val="0"/>
                                  <w:marTop w:val="0"/>
                                  <w:marBottom w:val="150"/>
                                  <w:divBdr>
                                    <w:top w:val="none" w:sz="0" w:space="0" w:color="auto"/>
                                    <w:left w:val="none" w:sz="0" w:space="0" w:color="auto"/>
                                    <w:bottom w:val="none" w:sz="0" w:space="0" w:color="auto"/>
                                    <w:right w:val="none" w:sz="0" w:space="0" w:color="auto"/>
                                  </w:divBdr>
                                  <w:divsChild>
                                    <w:div w:id="959074714">
                                      <w:marLeft w:val="0"/>
                                      <w:marRight w:val="0"/>
                                      <w:marTop w:val="60"/>
                                      <w:marBottom w:val="0"/>
                                      <w:divBdr>
                                        <w:top w:val="none" w:sz="0" w:space="0" w:color="auto"/>
                                        <w:left w:val="none" w:sz="0" w:space="0" w:color="auto"/>
                                        <w:bottom w:val="none" w:sz="0" w:space="0" w:color="auto"/>
                                        <w:right w:val="none" w:sz="0" w:space="0" w:color="auto"/>
                                      </w:divBdr>
                                    </w:div>
                                    <w:div w:id="424762636">
                                      <w:marLeft w:val="0"/>
                                      <w:marRight w:val="0"/>
                                      <w:marTop w:val="0"/>
                                      <w:marBottom w:val="0"/>
                                      <w:divBdr>
                                        <w:top w:val="none" w:sz="0" w:space="0" w:color="auto"/>
                                        <w:left w:val="none" w:sz="0" w:space="0" w:color="auto"/>
                                        <w:bottom w:val="none" w:sz="0" w:space="0" w:color="auto"/>
                                        <w:right w:val="none" w:sz="0" w:space="0" w:color="auto"/>
                                      </w:divBdr>
                                    </w:div>
                                  </w:divsChild>
                                </w:div>
                                <w:div w:id="2129857707">
                                  <w:marLeft w:val="0"/>
                                  <w:marRight w:val="0"/>
                                  <w:marTop w:val="0"/>
                                  <w:marBottom w:val="150"/>
                                  <w:divBdr>
                                    <w:top w:val="none" w:sz="0" w:space="0" w:color="auto"/>
                                    <w:left w:val="none" w:sz="0" w:space="0" w:color="auto"/>
                                    <w:bottom w:val="none" w:sz="0" w:space="0" w:color="auto"/>
                                    <w:right w:val="none" w:sz="0" w:space="0" w:color="auto"/>
                                  </w:divBdr>
                                  <w:divsChild>
                                    <w:div w:id="1431318947">
                                      <w:marLeft w:val="0"/>
                                      <w:marRight w:val="0"/>
                                      <w:marTop w:val="60"/>
                                      <w:marBottom w:val="0"/>
                                      <w:divBdr>
                                        <w:top w:val="none" w:sz="0" w:space="0" w:color="auto"/>
                                        <w:left w:val="none" w:sz="0" w:space="0" w:color="auto"/>
                                        <w:bottom w:val="none" w:sz="0" w:space="0" w:color="auto"/>
                                        <w:right w:val="none" w:sz="0" w:space="0" w:color="auto"/>
                                      </w:divBdr>
                                    </w:div>
                                    <w:div w:id="1296449363">
                                      <w:marLeft w:val="0"/>
                                      <w:marRight w:val="0"/>
                                      <w:marTop w:val="0"/>
                                      <w:marBottom w:val="0"/>
                                      <w:divBdr>
                                        <w:top w:val="none" w:sz="0" w:space="0" w:color="auto"/>
                                        <w:left w:val="none" w:sz="0" w:space="0" w:color="auto"/>
                                        <w:bottom w:val="none" w:sz="0" w:space="0" w:color="auto"/>
                                        <w:right w:val="none" w:sz="0" w:space="0" w:color="auto"/>
                                      </w:divBdr>
                                    </w:div>
                                  </w:divsChild>
                                </w:div>
                                <w:div w:id="387732483">
                                  <w:marLeft w:val="0"/>
                                  <w:marRight w:val="0"/>
                                  <w:marTop w:val="0"/>
                                  <w:marBottom w:val="150"/>
                                  <w:divBdr>
                                    <w:top w:val="none" w:sz="0" w:space="0" w:color="auto"/>
                                    <w:left w:val="none" w:sz="0" w:space="0" w:color="auto"/>
                                    <w:bottom w:val="none" w:sz="0" w:space="0" w:color="auto"/>
                                    <w:right w:val="none" w:sz="0" w:space="0" w:color="auto"/>
                                  </w:divBdr>
                                  <w:divsChild>
                                    <w:div w:id="119302886">
                                      <w:marLeft w:val="0"/>
                                      <w:marRight w:val="0"/>
                                      <w:marTop w:val="0"/>
                                      <w:marBottom w:val="0"/>
                                      <w:divBdr>
                                        <w:top w:val="none" w:sz="0" w:space="0" w:color="auto"/>
                                        <w:left w:val="none" w:sz="0" w:space="0" w:color="auto"/>
                                        <w:bottom w:val="none" w:sz="0" w:space="0" w:color="auto"/>
                                        <w:right w:val="none" w:sz="0" w:space="0" w:color="auto"/>
                                      </w:divBdr>
                                    </w:div>
                                  </w:divsChild>
                                </w:div>
                                <w:div w:id="324937870">
                                  <w:marLeft w:val="0"/>
                                  <w:marRight w:val="0"/>
                                  <w:marTop w:val="0"/>
                                  <w:marBottom w:val="150"/>
                                  <w:divBdr>
                                    <w:top w:val="none" w:sz="0" w:space="0" w:color="auto"/>
                                    <w:left w:val="none" w:sz="0" w:space="0" w:color="auto"/>
                                    <w:bottom w:val="none" w:sz="0" w:space="0" w:color="auto"/>
                                    <w:right w:val="none" w:sz="0" w:space="0" w:color="auto"/>
                                  </w:divBdr>
                                  <w:divsChild>
                                    <w:div w:id="1882471452">
                                      <w:marLeft w:val="0"/>
                                      <w:marRight w:val="0"/>
                                      <w:marTop w:val="0"/>
                                      <w:marBottom w:val="0"/>
                                      <w:divBdr>
                                        <w:top w:val="none" w:sz="0" w:space="0" w:color="auto"/>
                                        <w:left w:val="none" w:sz="0" w:space="0" w:color="auto"/>
                                        <w:bottom w:val="none" w:sz="0" w:space="0" w:color="auto"/>
                                        <w:right w:val="none" w:sz="0" w:space="0" w:color="auto"/>
                                      </w:divBdr>
                                      <w:divsChild>
                                        <w:div w:id="323702471">
                                          <w:marLeft w:val="0"/>
                                          <w:marRight w:val="0"/>
                                          <w:marTop w:val="0"/>
                                          <w:marBottom w:val="150"/>
                                          <w:divBdr>
                                            <w:top w:val="none" w:sz="0" w:space="0" w:color="auto"/>
                                            <w:left w:val="none" w:sz="0" w:space="0" w:color="auto"/>
                                            <w:bottom w:val="none" w:sz="0" w:space="0" w:color="auto"/>
                                            <w:right w:val="none" w:sz="0" w:space="0" w:color="auto"/>
                                          </w:divBdr>
                                        </w:div>
                                        <w:div w:id="1118524101">
                                          <w:marLeft w:val="0"/>
                                          <w:marRight w:val="0"/>
                                          <w:marTop w:val="0"/>
                                          <w:marBottom w:val="150"/>
                                          <w:divBdr>
                                            <w:top w:val="none" w:sz="0" w:space="0" w:color="auto"/>
                                            <w:left w:val="none" w:sz="0" w:space="0" w:color="auto"/>
                                            <w:bottom w:val="none" w:sz="0" w:space="0" w:color="auto"/>
                                            <w:right w:val="none" w:sz="0" w:space="0" w:color="auto"/>
                                          </w:divBdr>
                                          <w:divsChild>
                                            <w:div w:id="8870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913497">
          <w:marLeft w:val="0"/>
          <w:marRight w:val="0"/>
          <w:marTop w:val="0"/>
          <w:marBottom w:val="0"/>
          <w:divBdr>
            <w:top w:val="none" w:sz="0" w:space="0" w:color="auto"/>
            <w:left w:val="none" w:sz="0" w:space="0" w:color="auto"/>
            <w:bottom w:val="none" w:sz="0" w:space="0" w:color="auto"/>
            <w:right w:val="none" w:sz="0" w:space="0" w:color="auto"/>
          </w:divBdr>
          <w:divsChild>
            <w:div w:id="859665440">
              <w:marLeft w:val="0"/>
              <w:marRight w:val="0"/>
              <w:marTop w:val="0"/>
              <w:marBottom w:val="0"/>
              <w:divBdr>
                <w:top w:val="single" w:sz="6" w:space="0" w:color="CCCCCC"/>
                <w:left w:val="single" w:sz="6" w:space="0" w:color="CCCCCC"/>
                <w:bottom w:val="single" w:sz="6" w:space="0" w:color="CCCCCC"/>
                <w:right w:val="single" w:sz="6" w:space="0" w:color="CCCCCC"/>
              </w:divBdr>
              <w:divsChild>
                <w:div w:id="756483791">
                  <w:marLeft w:val="120"/>
                  <w:marRight w:val="120"/>
                  <w:marTop w:val="150"/>
                  <w:marBottom w:val="150"/>
                  <w:divBdr>
                    <w:top w:val="none" w:sz="0" w:space="0" w:color="auto"/>
                    <w:left w:val="none" w:sz="0" w:space="0" w:color="auto"/>
                    <w:bottom w:val="none" w:sz="0" w:space="0" w:color="auto"/>
                    <w:right w:val="none" w:sz="0" w:space="0" w:color="auto"/>
                  </w:divBdr>
                  <w:divsChild>
                    <w:div w:id="775447295">
                      <w:marLeft w:val="0"/>
                      <w:marRight w:val="0"/>
                      <w:marTop w:val="0"/>
                      <w:marBottom w:val="60"/>
                      <w:divBdr>
                        <w:top w:val="none" w:sz="0" w:space="0" w:color="auto"/>
                        <w:left w:val="none" w:sz="0" w:space="0" w:color="auto"/>
                        <w:bottom w:val="none" w:sz="0" w:space="0" w:color="auto"/>
                        <w:right w:val="none" w:sz="0" w:space="0" w:color="auto"/>
                      </w:divBdr>
                      <w:divsChild>
                        <w:div w:id="578322362">
                          <w:marLeft w:val="0"/>
                          <w:marRight w:val="0"/>
                          <w:marTop w:val="0"/>
                          <w:marBottom w:val="0"/>
                          <w:divBdr>
                            <w:top w:val="none" w:sz="0" w:space="0" w:color="auto"/>
                            <w:left w:val="none" w:sz="0" w:space="0" w:color="auto"/>
                            <w:bottom w:val="none" w:sz="0" w:space="0" w:color="auto"/>
                            <w:right w:val="none" w:sz="0" w:space="0" w:color="auto"/>
                          </w:divBdr>
                          <w:divsChild>
                            <w:div w:id="1876387817">
                              <w:marLeft w:val="0"/>
                              <w:marRight w:val="0"/>
                              <w:marTop w:val="0"/>
                              <w:marBottom w:val="0"/>
                              <w:divBdr>
                                <w:top w:val="none" w:sz="0" w:space="0" w:color="auto"/>
                                <w:left w:val="none" w:sz="0" w:space="0" w:color="auto"/>
                                <w:bottom w:val="none" w:sz="0" w:space="0" w:color="auto"/>
                                <w:right w:val="none" w:sz="0" w:space="0" w:color="auto"/>
                              </w:divBdr>
                            </w:div>
                            <w:div w:id="504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1107">
                      <w:marLeft w:val="0"/>
                      <w:marRight w:val="0"/>
                      <w:marTop w:val="0"/>
                      <w:marBottom w:val="0"/>
                      <w:divBdr>
                        <w:top w:val="none" w:sz="0" w:space="0" w:color="auto"/>
                        <w:left w:val="none" w:sz="0" w:space="0" w:color="auto"/>
                        <w:bottom w:val="none" w:sz="0" w:space="0" w:color="auto"/>
                        <w:right w:val="none" w:sz="0" w:space="0" w:color="auto"/>
                      </w:divBdr>
                      <w:divsChild>
                        <w:div w:id="680280076">
                          <w:marLeft w:val="120"/>
                          <w:marRight w:val="120"/>
                          <w:marTop w:val="150"/>
                          <w:marBottom w:val="150"/>
                          <w:divBdr>
                            <w:top w:val="none" w:sz="0" w:space="0" w:color="auto"/>
                            <w:left w:val="none" w:sz="0" w:space="0" w:color="auto"/>
                            <w:bottom w:val="none" w:sz="0" w:space="0" w:color="auto"/>
                            <w:right w:val="none" w:sz="0" w:space="0" w:color="auto"/>
                          </w:divBdr>
                          <w:divsChild>
                            <w:div w:id="1376730658">
                              <w:marLeft w:val="0"/>
                              <w:marRight w:val="0"/>
                              <w:marTop w:val="0"/>
                              <w:marBottom w:val="0"/>
                              <w:divBdr>
                                <w:top w:val="none" w:sz="0" w:space="0" w:color="auto"/>
                                <w:left w:val="none" w:sz="0" w:space="0" w:color="auto"/>
                                <w:bottom w:val="none" w:sz="0" w:space="0" w:color="auto"/>
                                <w:right w:val="none" w:sz="0" w:space="0" w:color="auto"/>
                              </w:divBdr>
                              <w:divsChild>
                                <w:div w:id="737049145">
                                  <w:marLeft w:val="0"/>
                                  <w:marRight w:val="0"/>
                                  <w:marTop w:val="0"/>
                                  <w:marBottom w:val="150"/>
                                  <w:divBdr>
                                    <w:top w:val="none" w:sz="0" w:space="0" w:color="auto"/>
                                    <w:left w:val="none" w:sz="0" w:space="0" w:color="auto"/>
                                    <w:bottom w:val="none" w:sz="0" w:space="0" w:color="auto"/>
                                    <w:right w:val="none" w:sz="0" w:space="0" w:color="auto"/>
                                  </w:divBdr>
                                  <w:divsChild>
                                    <w:div w:id="288047076">
                                      <w:marLeft w:val="0"/>
                                      <w:marRight w:val="0"/>
                                      <w:marTop w:val="0"/>
                                      <w:marBottom w:val="0"/>
                                      <w:divBdr>
                                        <w:top w:val="none" w:sz="0" w:space="0" w:color="auto"/>
                                        <w:left w:val="none" w:sz="0" w:space="0" w:color="auto"/>
                                        <w:bottom w:val="none" w:sz="0" w:space="0" w:color="auto"/>
                                        <w:right w:val="none" w:sz="0" w:space="0" w:color="auto"/>
                                      </w:divBdr>
                                      <w:divsChild>
                                        <w:div w:id="18839013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289382">
                                  <w:marLeft w:val="0"/>
                                  <w:marRight w:val="0"/>
                                  <w:marTop w:val="0"/>
                                  <w:marBottom w:val="150"/>
                                  <w:divBdr>
                                    <w:top w:val="none" w:sz="0" w:space="0" w:color="auto"/>
                                    <w:left w:val="none" w:sz="0" w:space="0" w:color="auto"/>
                                    <w:bottom w:val="none" w:sz="0" w:space="0" w:color="auto"/>
                                    <w:right w:val="none" w:sz="0" w:space="0" w:color="auto"/>
                                  </w:divBdr>
                                  <w:divsChild>
                                    <w:div w:id="636299169">
                                      <w:marLeft w:val="0"/>
                                      <w:marRight w:val="0"/>
                                      <w:marTop w:val="0"/>
                                      <w:marBottom w:val="0"/>
                                      <w:divBdr>
                                        <w:top w:val="none" w:sz="0" w:space="0" w:color="auto"/>
                                        <w:left w:val="none" w:sz="0" w:space="0" w:color="auto"/>
                                        <w:bottom w:val="none" w:sz="0" w:space="0" w:color="auto"/>
                                        <w:right w:val="none" w:sz="0" w:space="0" w:color="auto"/>
                                      </w:divBdr>
                                      <w:divsChild>
                                        <w:div w:id="269515165">
                                          <w:marLeft w:val="0"/>
                                          <w:marRight w:val="0"/>
                                          <w:marTop w:val="60"/>
                                          <w:marBottom w:val="0"/>
                                          <w:divBdr>
                                            <w:top w:val="none" w:sz="0" w:space="0" w:color="auto"/>
                                            <w:left w:val="none" w:sz="0" w:space="0" w:color="auto"/>
                                            <w:bottom w:val="none" w:sz="0" w:space="0" w:color="auto"/>
                                            <w:right w:val="none" w:sz="0" w:space="0" w:color="auto"/>
                                          </w:divBdr>
                                        </w:div>
                                      </w:divsChild>
                                    </w:div>
                                    <w:div w:id="1318261908">
                                      <w:marLeft w:val="0"/>
                                      <w:marRight w:val="0"/>
                                      <w:marTop w:val="0"/>
                                      <w:marBottom w:val="0"/>
                                      <w:divBdr>
                                        <w:top w:val="none" w:sz="0" w:space="0" w:color="auto"/>
                                        <w:left w:val="none" w:sz="0" w:space="0" w:color="auto"/>
                                        <w:bottom w:val="none" w:sz="0" w:space="0" w:color="auto"/>
                                        <w:right w:val="none" w:sz="0" w:space="0" w:color="auto"/>
                                      </w:divBdr>
                                    </w:div>
                                  </w:divsChild>
                                </w:div>
                                <w:div w:id="1197500331">
                                  <w:marLeft w:val="0"/>
                                  <w:marRight w:val="0"/>
                                  <w:marTop w:val="0"/>
                                  <w:marBottom w:val="150"/>
                                  <w:divBdr>
                                    <w:top w:val="none" w:sz="0" w:space="0" w:color="auto"/>
                                    <w:left w:val="none" w:sz="0" w:space="0" w:color="auto"/>
                                    <w:bottom w:val="none" w:sz="0" w:space="0" w:color="auto"/>
                                    <w:right w:val="none" w:sz="0" w:space="0" w:color="auto"/>
                                  </w:divBdr>
                                  <w:divsChild>
                                    <w:div w:id="1850560489">
                                      <w:marLeft w:val="0"/>
                                      <w:marRight w:val="0"/>
                                      <w:marTop w:val="0"/>
                                      <w:marBottom w:val="0"/>
                                      <w:divBdr>
                                        <w:top w:val="none" w:sz="0" w:space="0" w:color="auto"/>
                                        <w:left w:val="none" w:sz="0" w:space="0" w:color="auto"/>
                                        <w:bottom w:val="none" w:sz="0" w:space="0" w:color="auto"/>
                                        <w:right w:val="none" w:sz="0" w:space="0" w:color="auto"/>
                                      </w:divBdr>
                                      <w:divsChild>
                                        <w:div w:id="1638727940">
                                          <w:marLeft w:val="0"/>
                                          <w:marRight w:val="0"/>
                                          <w:marTop w:val="60"/>
                                          <w:marBottom w:val="0"/>
                                          <w:divBdr>
                                            <w:top w:val="none" w:sz="0" w:space="0" w:color="auto"/>
                                            <w:left w:val="none" w:sz="0" w:space="0" w:color="auto"/>
                                            <w:bottom w:val="none" w:sz="0" w:space="0" w:color="auto"/>
                                            <w:right w:val="none" w:sz="0" w:space="0" w:color="auto"/>
                                          </w:divBdr>
                                        </w:div>
                                      </w:divsChild>
                                    </w:div>
                                    <w:div w:id="808475343">
                                      <w:marLeft w:val="0"/>
                                      <w:marRight w:val="0"/>
                                      <w:marTop w:val="0"/>
                                      <w:marBottom w:val="0"/>
                                      <w:divBdr>
                                        <w:top w:val="none" w:sz="0" w:space="0" w:color="auto"/>
                                        <w:left w:val="none" w:sz="0" w:space="0" w:color="auto"/>
                                        <w:bottom w:val="none" w:sz="0" w:space="0" w:color="auto"/>
                                        <w:right w:val="none" w:sz="0" w:space="0" w:color="auto"/>
                                      </w:divBdr>
                                    </w:div>
                                  </w:divsChild>
                                </w:div>
                                <w:div w:id="492111863">
                                  <w:marLeft w:val="0"/>
                                  <w:marRight w:val="0"/>
                                  <w:marTop w:val="0"/>
                                  <w:marBottom w:val="150"/>
                                  <w:divBdr>
                                    <w:top w:val="none" w:sz="0" w:space="0" w:color="auto"/>
                                    <w:left w:val="none" w:sz="0" w:space="0" w:color="auto"/>
                                    <w:bottom w:val="none" w:sz="0" w:space="0" w:color="auto"/>
                                    <w:right w:val="none" w:sz="0" w:space="0" w:color="auto"/>
                                  </w:divBdr>
                                  <w:divsChild>
                                    <w:div w:id="898248483">
                                      <w:marLeft w:val="0"/>
                                      <w:marRight w:val="0"/>
                                      <w:marTop w:val="0"/>
                                      <w:marBottom w:val="0"/>
                                      <w:divBdr>
                                        <w:top w:val="none" w:sz="0" w:space="0" w:color="auto"/>
                                        <w:left w:val="none" w:sz="0" w:space="0" w:color="auto"/>
                                        <w:bottom w:val="none" w:sz="0" w:space="0" w:color="auto"/>
                                        <w:right w:val="none" w:sz="0" w:space="0" w:color="auto"/>
                                      </w:divBdr>
                                    </w:div>
                                    <w:div w:id="1589659677">
                                      <w:marLeft w:val="0"/>
                                      <w:marRight w:val="0"/>
                                      <w:marTop w:val="0"/>
                                      <w:marBottom w:val="0"/>
                                      <w:divBdr>
                                        <w:top w:val="none" w:sz="0" w:space="0" w:color="auto"/>
                                        <w:left w:val="none" w:sz="0" w:space="0" w:color="auto"/>
                                        <w:bottom w:val="none" w:sz="0" w:space="0" w:color="auto"/>
                                        <w:right w:val="none" w:sz="0" w:space="0" w:color="auto"/>
                                      </w:divBdr>
                                    </w:div>
                                  </w:divsChild>
                                </w:div>
                                <w:div w:id="1449398097">
                                  <w:marLeft w:val="0"/>
                                  <w:marRight w:val="0"/>
                                  <w:marTop w:val="0"/>
                                  <w:marBottom w:val="150"/>
                                  <w:divBdr>
                                    <w:top w:val="none" w:sz="0" w:space="0" w:color="auto"/>
                                    <w:left w:val="none" w:sz="0" w:space="0" w:color="auto"/>
                                    <w:bottom w:val="none" w:sz="0" w:space="0" w:color="auto"/>
                                    <w:right w:val="none" w:sz="0" w:space="0" w:color="auto"/>
                                  </w:divBdr>
                                  <w:divsChild>
                                    <w:div w:id="435054378">
                                      <w:marLeft w:val="0"/>
                                      <w:marRight w:val="0"/>
                                      <w:marTop w:val="0"/>
                                      <w:marBottom w:val="0"/>
                                      <w:divBdr>
                                        <w:top w:val="none" w:sz="0" w:space="0" w:color="auto"/>
                                        <w:left w:val="none" w:sz="0" w:space="0" w:color="auto"/>
                                        <w:bottom w:val="none" w:sz="0" w:space="0" w:color="auto"/>
                                        <w:right w:val="none" w:sz="0" w:space="0" w:color="auto"/>
                                      </w:divBdr>
                                    </w:div>
                                  </w:divsChild>
                                </w:div>
                                <w:div w:id="168837744">
                                  <w:marLeft w:val="0"/>
                                  <w:marRight w:val="0"/>
                                  <w:marTop w:val="0"/>
                                  <w:marBottom w:val="150"/>
                                  <w:divBdr>
                                    <w:top w:val="none" w:sz="0" w:space="0" w:color="auto"/>
                                    <w:left w:val="none" w:sz="0" w:space="0" w:color="auto"/>
                                    <w:bottom w:val="none" w:sz="0" w:space="0" w:color="auto"/>
                                    <w:right w:val="none" w:sz="0" w:space="0" w:color="auto"/>
                                  </w:divBdr>
                                  <w:divsChild>
                                    <w:div w:id="338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116927">
          <w:marLeft w:val="0"/>
          <w:marRight w:val="0"/>
          <w:marTop w:val="0"/>
          <w:marBottom w:val="0"/>
          <w:divBdr>
            <w:top w:val="none" w:sz="0" w:space="0" w:color="auto"/>
            <w:left w:val="none" w:sz="0" w:space="0" w:color="auto"/>
            <w:bottom w:val="none" w:sz="0" w:space="0" w:color="auto"/>
            <w:right w:val="none" w:sz="0" w:space="0" w:color="auto"/>
          </w:divBdr>
          <w:divsChild>
            <w:div w:id="1611359079">
              <w:marLeft w:val="-3225"/>
              <w:marRight w:val="0"/>
              <w:marTop w:val="0"/>
              <w:marBottom w:val="0"/>
              <w:divBdr>
                <w:top w:val="single" w:sz="6" w:space="0" w:color="DDDDDD"/>
                <w:left w:val="single" w:sz="6" w:space="0" w:color="DDDDDD"/>
                <w:bottom w:val="single" w:sz="6" w:space="0" w:color="DDDDDD"/>
                <w:right w:val="single" w:sz="6" w:space="0" w:color="DDDDDD"/>
              </w:divBdr>
              <w:divsChild>
                <w:div w:id="178157665">
                  <w:marLeft w:val="450"/>
                  <w:marRight w:val="450"/>
                  <w:marTop w:val="240"/>
                  <w:marBottom w:val="330"/>
                  <w:divBdr>
                    <w:top w:val="none" w:sz="0" w:space="0" w:color="auto"/>
                    <w:left w:val="none" w:sz="0" w:space="0" w:color="auto"/>
                    <w:bottom w:val="none" w:sz="0" w:space="0" w:color="auto"/>
                    <w:right w:val="none" w:sz="0" w:space="0" w:color="auto"/>
                  </w:divBdr>
                  <w:divsChild>
                    <w:div w:id="607858010">
                      <w:marLeft w:val="0"/>
                      <w:marRight w:val="0"/>
                      <w:marTop w:val="0"/>
                      <w:marBottom w:val="150"/>
                      <w:divBdr>
                        <w:top w:val="none" w:sz="0" w:space="0" w:color="auto"/>
                        <w:left w:val="none" w:sz="0" w:space="0" w:color="auto"/>
                        <w:bottom w:val="none" w:sz="0" w:space="0" w:color="auto"/>
                        <w:right w:val="none" w:sz="0" w:space="0" w:color="auto"/>
                      </w:divBdr>
                    </w:div>
                    <w:div w:id="663164509">
                      <w:marLeft w:val="0"/>
                      <w:marRight w:val="0"/>
                      <w:marTop w:val="0"/>
                      <w:marBottom w:val="0"/>
                      <w:divBdr>
                        <w:top w:val="none" w:sz="0" w:space="0" w:color="auto"/>
                        <w:left w:val="none" w:sz="0" w:space="0" w:color="auto"/>
                        <w:bottom w:val="none" w:sz="0" w:space="0" w:color="auto"/>
                        <w:right w:val="none" w:sz="0" w:space="0" w:color="auto"/>
                      </w:divBdr>
                      <w:divsChild>
                        <w:div w:id="1412770773">
                          <w:marLeft w:val="0"/>
                          <w:marRight w:val="0"/>
                          <w:marTop w:val="0"/>
                          <w:marBottom w:val="0"/>
                          <w:divBdr>
                            <w:top w:val="none" w:sz="0" w:space="0" w:color="auto"/>
                            <w:left w:val="none" w:sz="0" w:space="0" w:color="auto"/>
                            <w:bottom w:val="none" w:sz="0" w:space="0" w:color="auto"/>
                            <w:right w:val="none" w:sz="0" w:space="0" w:color="auto"/>
                          </w:divBdr>
                          <w:divsChild>
                            <w:div w:id="623775848">
                              <w:marLeft w:val="0"/>
                              <w:marRight w:val="0"/>
                              <w:marTop w:val="0"/>
                              <w:marBottom w:val="0"/>
                              <w:divBdr>
                                <w:top w:val="none" w:sz="0" w:space="0" w:color="auto"/>
                                <w:left w:val="none" w:sz="0" w:space="0" w:color="auto"/>
                                <w:bottom w:val="none" w:sz="0" w:space="0" w:color="auto"/>
                                <w:right w:val="none" w:sz="0" w:space="0" w:color="auto"/>
                              </w:divBdr>
                              <w:divsChild>
                                <w:div w:id="527378743">
                                  <w:marLeft w:val="0"/>
                                  <w:marRight w:val="150"/>
                                  <w:marTop w:val="0"/>
                                  <w:marBottom w:val="375"/>
                                  <w:divBdr>
                                    <w:top w:val="none" w:sz="0" w:space="0" w:color="auto"/>
                                    <w:left w:val="none" w:sz="0" w:space="0" w:color="auto"/>
                                    <w:bottom w:val="none" w:sz="0" w:space="0" w:color="auto"/>
                                    <w:right w:val="none" w:sz="0" w:space="0" w:color="auto"/>
                                  </w:divBdr>
                                </w:div>
                              </w:divsChild>
                            </w:div>
                            <w:div w:id="1892115285">
                              <w:marLeft w:val="0"/>
                              <w:marRight w:val="0"/>
                              <w:marTop w:val="0"/>
                              <w:marBottom w:val="0"/>
                              <w:divBdr>
                                <w:top w:val="none" w:sz="0" w:space="0" w:color="auto"/>
                                <w:left w:val="none" w:sz="0" w:space="0" w:color="auto"/>
                                <w:bottom w:val="none" w:sz="0" w:space="0" w:color="auto"/>
                                <w:right w:val="none" w:sz="0" w:space="0" w:color="auto"/>
                              </w:divBdr>
                              <w:divsChild>
                                <w:div w:id="347829135">
                                  <w:marLeft w:val="450"/>
                                  <w:marRight w:val="450"/>
                                  <w:marTop w:val="24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431526">
          <w:marLeft w:val="0"/>
          <w:marRight w:val="0"/>
          <w:marTop w:val="0"/>
          <w:marBottom w:val="0"/>
          <w:divBdr>
            <w:top w:val="none" w:sz="0" w:space="0" w:color="auto"/>
            <w:left w:val="none" w:sz="0" w:space="0" w:color="auto"/>
            <w:bottom w:val="none" w:sz="0" w:space="0" w:color="auto"/>
            <w:right w:val="none" w:sz="0" w:space="0" w:color="auto"/>
          </w:divBdr>
        </w:div>
      </w:divsChild>
    </w:div>
    <w:div w:id="2030446909">
      <w:bodyDiv w:val="1"/>
      <w:marLeft w:val="150"/>
      <w:marRight w:val="150"/>
      <w:marTop w:val="0"/>
      <w:marBottom w:val="0"/>
      <w:divBdr>
        <w:top w:val="none" w:sz="0" w:space="0" w:color="auto"/>
        <w:left w:val="none" w:sz="0" w:space="0" w:color="auto"/>
        <w:bottom w:val="none" w:sz="0" w:space="0" w:color="auto"/>
        <w:right w:val="none" w:sz="0" w:space="0" w:color="auto"/>
      </w:divBdr>
      <w:divsChild>
        <w:div w:id="70544757">
          <w:marLeft w:val="0"/>
          <w:marRight w:val="0"/>
          <w:marTop w:val="225"/>
          <w:marBottom w:val="0"/>
          <w:divBdr>
            <w:top w:val="none" w:sz="0" w:space="0" w:color="auto"/>
            <w:left w:val="none" w:sz="0" w:space="0" w:color="auto"/>
            <w:bottom w:val="none" w:sz="0" w:space="0" w:color="auto"/>
            <w:right w:val="none" w:sz="0" w:space="0" w:color="auto"/>
          </w:divBdr>
        </w:div>
        <w:div w:id="1336028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remecourt.gov/opinions/09pdf/08-970.pdf" TargetMode="External"/><Relationship Id="rId3" Type="http://schemas.openxmlformats.org/officeDocument/2006/relationships/settings" Target="settings.xml"/><Relationship Id="rId7" Type="http://schemas.openxmlformats.org/officeDocument/2006/relationships/hyperlink" Target="http://www.almlegal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lpdirectory.com/" TargetMode="External"/><Relationship Id="rId11" Type="http://schemas.openxmlformats.org/officeDocument/2006/relationships/theme" Target="theme/theme1.xml"/><Relationship Id="rId5" Type="http://schemas.openxmlformats.org/officeDocument/2006/relationships/hyperlink" Target="http://dealbook.nytimes.com/2013/03/26/dla-piper-warns-employees-against-offensive-humor-in-e-mail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times.com/1998/05/02/us/excerpts-from-the-tapes-of-webster-hubbell-s-prison-phone-conversations.html?pagewanted=all&amp;src=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4</cp:revision>
  <dcterms:created xsi:type="dcterms:W3CDTF">2014-01-06T16:57:00Z</dcterms:created>
  <dcterms:modified xsi:type="dcterms:W3CDTF">2014-01-06T17:04:00Z</dcterms:modified>
</cp:coreProperties>
</file>